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3304F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3304F0">
              <w:rPr>
                <w:rFonts w:ascii="Arial" w:hAnsi="Arial" w:cs="Arial"/>
                <w:sz w:val="20"/>
                <w:szCs w:val="20"/>
              </w:rPr>
              <w:t>0152/25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3304F0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opravných spojek litinových nedělených a přírubových přechodů s jištěním proti posunu </w:t>
            </w:r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3304F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Mgr. </w:t>
            </w:r>
            <w:r w:rsidR="002402FE">
              <w:rPr>
                <w:rFonts w:ascii="Arial" w:hAnsi="Arial" w:cs="Arial"/>
                <w:sz w:val="20"/>
                <w:szCs w:val="20"/>
              </w:rPr>
              <w:t>Sedláček</w:t>
            </w:r>
            <w:r w:rsidRPr="00AD13B6">
              <w:rPr>
                <w:rFonts w:ascii="Arial" w:hAnsi="Arial" w:cs="Arial"/>
                <w:sz w:val="20"/>
                <w:szCs w:val="20"/>
              </w:rPr>
              <w:t>, Pisárecká 555/1a, 603 00 Brno, telefon: 5434330</w:t>
            </w:r>
            <w:r w:rsidR="002402FE">
              <w:rPr>
                <w:rFonts w:ascii="Arial" w:hAnsi="Arial" w:cs="Arial"/>
                <w:sz w:val="20"/>
                <w:szCs w:val="20"/>
              </w:rPr>
              <w:t>09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bookmarkStart w:id="0" w:name="_GoBack"/>
            <w:bookmarkEnd w:id="0"/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2402FE">
              <w:rPr>
                <w:rFonts w:ascii="Arial" w:hAnsi="Arial" w:cs="Arial"/>
                <w:sz w:val="20"/>
                <w:szCs w:val="20"/>
              </w:rPr>
              <w:t>psedlacek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2F" w:rsidRDefault="0046772F" w:rsidP="00176DFD">
      <w:pPr>
        <w:spacing w:after="0" w:line="240" w:lineRule="auto"/>
      </w:pPr>
      <w:r>
        <w:separator/>
      </w:r>
    </w:p>
  </w:endnote>
  <w:endnote w:type="continuationSeparator" w:id="0">
    <w:p w:rsidR="0046772F" w:rsidRDefault="0046772F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304F0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2F" w:rsidRDefault="0046772F" w:rsidP="00176DFD">
      <w:pPr>
        <w:spacing w:after="0" w:line="240" w:lineRule="auto"/>
      </w:pPr>
      <w:r>
        <w:separator/>
      </w:r>
    </w:p>
  </w:footnote>
  <w:footnote w:type="continuationSeparator" w:id="0">
    <w:p w:rsidR="0046772F" w:rsidRDefault="0046772F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124A24"/>
    <w:rsid w:val="00176DFD"/>
    <w:rsid w:val="001A27D4"/>
    <w:rsid w:val="001B5544"/>
    <w:rsid w:val="001D6DD0"/>
    <w:rsid w:val="002376DD"/>
    <w:rsid w:val="002402FE"/>
    <w:rsid w:val="0024575F"/>
    <w:rsid w:val="002C40DD"/>
    <w:rsid w:val="00306DD5"/>
    <w:rsid w:val="0031661E"/>
    <w:rsid w:val="003304F0"/>
    <w:rsid w:val="00396598"/>
    <w:rsid w:val="004169D2"/>
    <w:rsid w:val="00432575"/>
    <w:rsid w:val="0046772F"/>
    <w:rsid w:val="004777FF"/>
    <w:rsid w:val="00485720"/>
    <w:rsid w:val="0048656F"/>
    <w:rsid w:val="004A6D98"/>
    <w:rsid w:val="004B1B43"/>
    <w:rsid w:val="004E2431"/>
    <w:rsid w:val="005A6710"/>
    <w:rsid w:val="005E3CBB"/>
    <w:rsid w:val="005F1E20"/>
    <w:rsid w:val="0060135A"/>
    <w:rsid w:val="00623B19"/>
    <w:rsid w:val="006539A5"/>
    <w:rsid w:val="00694CF2"/>
    <w:rsid w:val="006E6B49"/>
    <w:rsid w:val="00724E07"/>
    <w:rsid w:val="00724FC3"/>
    <w:rsid w:val="00726668"/>
    <w:rsid w:val="007B5190"/>
    <w:rsid w:val="00826FC9"/>
    <w:rsid w:val="00835450"/>
    <w:rsid w:val="008F42A0"/>
    <w:rsid w:val="00913E6A"/>
    <w:rsid w:val="00976F19"/>
    <w:rsid w:val="00A039FD"/>
    <w:rsid w:val="00A20300"/>
    <w:rsid w:val="00A77610"/>
    <w:rsid w:val="00AD13B6"/>
    <w:rsid w:val="00B45D12"/>
    <w:rsid w:val="00BD59A1"/>
    <w:rsid w:val="00C2366F"/>
    <w:rsid w:val="00C400C9"/>
    <w:rsid w:val="00C565BB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F15407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5B41F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8002-612D-4808-A0C1-4AAB2D6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Petr Sedláček</cp:lastModifiedBy>
  <cp:revision>20</cp:revision>
  <dcterms:created xsi:type="dcterms:W3CDTF">2023-03-06T13:15:00Z</dcterms:created>
  <dcterms:modified xsi:type="dcterms:W3CDTF">2025-04-03T11:49:00Z</dcterms:modified>
</cp:coreProperties>
</file>