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A3C79" w14:textId="77777777" w:rsidR="00646A30" w:rsidRPr="00CE44D5" w:rsidRDefault="00646A30" w:rsidP="00656CDB">
      <w:pPr>
        <w:autoSpaceDE w:val="0"/>
        <w:autoSpaceDN w:val="0"/>
        <w:adjustRightInd w:val="0"/>
        <w:spacing w:before="0" w:after="200"/>
        <w:ind w:firstLine="0"/>
        <w:jc w:val="center"/>
        <w:rPr>
          <w:rFonts w:ascii="HelveticaNeueLTPro-Md" w:hAnsi="HelveticaNeueLTPro-Md" w:cs="HelveticaNeueLTPro-Md"/>
          <w:color w:val="000000"/>
          <w:sz w:val="32"/>
          <w:szCs w:val="32"/>
        </w:rPr>
      </w:pPr>
      <w:r w:rsidRPr="00CE44D5">
        <w:rPr>
          <w:rFonts w:ascii="HelveticaNeueLTPro-Md" w:hAnsi="HelveticaNeueLTPro-Md" w:cs="HelveticaNeueLTPro-Md"/>
          <w:color w:val="000000"/>
          <w:sz w:val="32"/>
          <w:szCs w:val="32"/>
        </w:rPr>
        <w:t>FORMULÁŘ</w:t>
      </w:r>
    </w:p>
    <w:p w14:paraId="70DEE59D" w14:textId="77777777" w:rsidR="00646A30" w:rsidRPr="00CE44D5" w:rsidRDefault="00646A30" w:rsidP="00656CDB">
      <w:pPr>
        <w:autoSpaceDE w:val="0"/>
        <w:autoSpaceDN w:val="0"/>
        <w:adjustRightInd w:val="0"/>
        <w:spacing w:before="0" w:after="200"/>
        <w:ind w:firstLine="0"/>
        <w:jc w:val="center"/>
        <w:rPr>
          <w:rFonts w:ascii="HelveticaNeueLTPro-Md" w:hAnsi="HelveticaNeueLTPro-Md" w:cs="HelveticaNeueLTPro-Md"/>
          <w:color w:val="000000"/>
          <w:sz w:val="32"/>
          <w:szCs w:val="32"/>
        </w:rPr>
      </w:pPr>
    </w:p>
    <w:p w14:paraId="321BBB63" w14:textId="77777777" w:rsidR="00646A30" w:rsidRPr="00CE44D5" w:rsidRDefault="00646A30" w:rsidP="00656CDB">
      <w:pPr>
        <w:autoSpaceDE w:val="0"/>
        <w:autoSpaceDN w:val="0"/>
        <w:adjustRightInd w:val="0"/>
        <w:spacing w:before="0" w:after="200"/>
        <w:ind w:firstLine="0"/>
        <w:jc w:val="center"/>
        <w:rPr>
          <w:rFonts w:ascii="HelveticaNeueLTPro-Md" w:hAnsi="HelveticaNeueLTPro-Md" w:cs="HelveticaNeueLTPro-Md"/>
          <w:color w:val="4D4D4D"/>
          <w:sz w:val="32"/>
          <w:szCs w:val="32"/>
        </w:rPr>
      </w:pPr>
      <w:r w:rsidRPr="00CE44D5">
        <w:rPr>
          <w:rFonts w:ascii="HelveticaNeueLTPro-Md" w:hAnsi="HelveticaNeueLTPro-Md" w:cs="HelveticaNeueLTPro-Md"/>
          <w:color w:val="4D4D4D"/>
          <w:sz w:val="32"/>
          <w:szCs w:val="32"/>
        </w:rPr>
        <w:t>VZOROVÝ FORMULÁŘ BANKOVNÍ ZÁRUKY</w:t>
      </w:r>
    </w:p>
    <w:p w14:paraId="6CF08879" w14:textId="6B37CFF9" w:rsidR="00646A30" w:rsidRDefault="00646A30" w:rsidP="00656CDB">
      <w:pPr>
        <w:spacing w:before="0" w:after="200"/>
        <w:ind w:firstLine="0"/>
        <w:jc w:val="center"/>
        <w:rPr>
          <w:rFonts w:ascii="HelveticaNeueLTPro-Md" w:hAnsi="HelveticaNeueLTPro-Md" w:cs="HelveticaNeueLTPro-Md"/>
          <w:color w:val="4D4D4D"/>
          <w:sz w:val="32"/>
          <w:szCs w:val="32"/>
        </w:rPr>
      </w:pPr>
      <w:r w:rsidRPr="00CE44D5">
        <w:rPr>
          <w:rFonts w:ascii="HelveticaNeueLTPro-Md" w:hAnsi="HelveticaNeueLTPro-Md" w:cs="HelveticaNeueLTPro-Md"/>
          <w:color w:val="4D4D4D"/>
          <w:sz w:val="32"/>
          <w:szCs w:val="32"/>
        </w:rPr>
        <w:t>– ZAJIŠTĚNÍ SPLNĚNÍ SMLOUVY</w:t>
      </w:r>
    </w:p>
    <w:p w14:paraId="57326EFA" w14:textId="77777777" w:rsidR="00646A30" w:rsidRPr="00CE44D5" w:rsidRDefault="00646A30" w:rsidP="00656CDB">
      <w:pPr>
        <w:spacing w:before="0" w:after="200"/>
        <w:ind w:firstLine="0"/>
        <w:jc w:val="center"/>
        <w:rPr>
          <w:rFonts w:ascii="HelveticaNeueLTPro-Md" w:hAnsi="HelveticaNeueLTPro-Md" w:cs="HelveticaNeueLTPro-Md"/>
          <w:color w:val="4D4D4D"/>
          <w:sz w:val="32"/>
          <w:szCs w:val="32"/>
        </w:rPr>
      </w:pPr>
    </w:p>
    <w:p w14:paraId="4D050D5B" w14:textId="77777777" w:rsidR="006241F6" w:rsidRPr="00EB47CA" w:rsidRDefault="0093713C" w:rsidP="001766D0">
      <w:pPr>
        <w:pStyle w:val="Nadpis2"/>
        <w:rPr>
          <w:color w:val="808080" w:themeColor="background1" w:themeShade="80"/>
        </w:rPr>
      </w:pPr>
      <w:r w:rsidRPr="00EB47CA">
        <w:rPr>
          <w:color w:val="808080" w:themeColor="background1" w:themeShade="80"/>
        </w:rPr>
        <w:fldChar w:fldCharType="begin"/>
      </w:r>
      <w:r w:rsidRPr="00EB47CA">
        <w:rPr>
          <w:color w:val="808080" w:themeColor="background1" w:themeShade="80"/>
        </w:rPr>
        <w:instrText xml:space="preserve"> TITLE  \* MERGEFORMAT </w:instrText>
      </w:r>
      <w:r w:rsidRPr="00EB47CA">
        <w:rPr>
          <w:color w:val="808080" w:themeColor="background1" w:themeShade="80"/>
        </w:rPr>
        <w:fldChar w:fldCharType="separate"/>
      </w:r>
      <w:r w:rsidR="006241F6" w:rsidRPr="00EB47CA">
        <w:rPr>
          <w:color w:val="808080" w:themeColor="background1" w:themeShade="80"/>
        </w:rPr>
        <w:t>Stavebně-montážní pojištění, pojištění odpovědnosti a obchodní podmínky</w:t>
      </w:r>
      <w:r w:rsidRPr="00EB47CA">
        <w:rPr>
          <w:color w:val="808080" w:themeColor="background1" w:themeShade="80"/>
        </w:rPr>
        <w:fldChar w:fldCharType="end"/>
      </w:r>
      <w:r w:rsidR="006241F6" w:rsidRPr="00EB47CA">
        <w:rPr>
          <w:color w:val="808080" w:themeColor="background1" w:themeShade="80"/>
        </w:rPr>
        <w:t xml:space="preserve"> </w:t>
      </w:r>
    </w:p>
    <w:tbl>
      <w:tblPr>
        <w:tblStyle w:val="Tabulkasmkou4zvraznn5"/>
        <w:tblW w:w="9064" w:type="dxa"/>
        <w:tblLayout w:type="fixed"/>
        <w:tblLook w:val="0000" w:firstRow="0" w:lastRow="0" w:firstColumn="0" w:lastColumn="0" w:noHBand="0" w:noVBand="0"/>
      </w:tblPr>
      <w:tblGrid>
        <w:gridCol w:w="1835"/>
        <w:gridCol w:w="7229"/>
      </w:tblGrid>
      <w:tr w:rsidR="006241F6" w:rsidRPr="0096470B" w14:paraId="7B3C5074" w14:textId="77777777" w:rsidTr="0061388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35" w:type="dxa"/>
          </w:tcPr>
          <w:p w14:paraId="55DE4D33"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Pojistník:</w:t>
            </w:r>
          </w:p>
        </w:tc>
        <w:tc>
          <w:tcPr>
            <w:tcW w:w="7229" w:type="dxa"/>
          </w:tcPr>
          <w:p w14:paraId="4C448201" w14:textId="49A12D4A" w:rsidR="006241F6" w:rsidRPr="00473F42" w:rsidRDefault="00293A1A"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Objednatel</w:t>
            </w:r>
          </w:p>
        </w:tc>
      </w:tr>
      <w:tr w:rsidR="006241F6" w:rsidRPr="0096470B" w14:paraId="083AEAB6" w14:textId="77777777" w:rsidTr="00613884">
        <w:tc>
          <w:tcPr>
            <w:cnfStyle w:val="000010000000" w:firstRow="0" w:lastRow="0" w:firstColumn="0" w:lastColumn="0" w:oddVBand="1" w:evenVBand="0" w:oddHBand="0" w:evenHBand="0" w:firstRowFirstColumn="0" w:firstRowLastColumn="0" w:lastRowFirstColumn="0" w:lastRowLastColumn="0"/>
            <w:tcW w:w="1835" w:type="dxa"/>
          </w:tcPr>
          <w:p w14:paraId="53E76827"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Pojištěný</w:t>
            </w:r>
          </w:p>
        </w:tc>
        <w:tc>
          <w:tcPr>
            <w:tcW w:w="7229" w:type="dxa"/>
          </w:tcPr>
          <w:p w14:paraId="6F937D4D"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473F42">
              <w:rPr>
                <w:rFonts w:ascii="Times New Roman" w:hAnsi="Times New Roman" w:cs="Times New Roman"/>
                <w:b/>
              </w:rPr>
              <w:t>Zhotovitel, všichni subdodavatelé, Objednatel</w:t>
            </w:r>
          </w:p>
        </w:tc>
      </w:tr>
      <w:tr w:rsidR="006241F6" w:rsidRPr="0096470B" w14:paraId="7F439058" w14:textId="77777777" w:rsidTr="0061388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35" w:type="dxa"/>
          </w:tcPr>
          <w:p w14:paraId="574B05C8"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Název akce:</w:t>
            </w:r>
          </w:p>
        </w:tc>
        <w:tc>
          <w:tcPr>
            <w:tcW w:w="7229" w:type="dxa"/>
          </w:tcPr>
          <w:p w14:paraId="7429B64D"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473F42">
              <w:rPr>
                <w:rFonts w:ascii="Times New Roman" w:hAnsi="Times New Roman" w:cs="Times New Roman"/>
                <w:b/>
              </w:rPr>
              <w:t xml:space="preserve">Kalové hospodářství ČOV Brno – Modřice </w:t>
            </w:r>
          </w:p>
        </w:tc>
      </w:tr>
      <w:tr w:rsidR="006241F6" w:rsidRPr="0096470B" w14:paraId="4921E930" w14:textId="77777777" w:rsidTr="00613884">
        <w:tc>
          <w:tcPr>
            <w:cnfStyle w:val="000010000000" w:firstRow="0" w:lastRow="0" w:firstColumn="0" w:lastColumn="0" w:oddVBand="1" w:evenVBand="0" w:oddHBand="0" w:evenHBand="0" w:firstRowFirstColumn="0" w:firstRowLastColumn="0" w:lastRowFirstColumn="0" w:lastRowLastColumn="0"/>
            <w:tcW w:w="1835" w:type="dxa"/>
          </w:tcPr>
          <w:p w14:paraId="5E058138"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Doba pojištění</w:t>
            </w:r>
          </w:p>
        </w:tc>
        <w:tc>
          <w:tcPr>
            <w:tcW w:w="7229" w:type="dxa"/>
          </w:tcPr>
          <w:p w14:paraId="143B27EC" w14:textId="77777777" w:rsidR="006241F6"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473F42">
              <w:rPr>
                <w:rFonts w:ascii="Times New Roman" w:hAnsi="Times New Roman" w:cs="Times New Roman"/>
                <w:b/>
              </w:rPr>
              <w:t xml:space="preserve">Doba realizace </w:t>
            </w:r>
            <w:r>
              <w:rPr>
                <w:rFonts w:ascii="Times New Roman" w:hAnsi="Times New Roman" w:cs="Times New Roman"/>
                <w:b/>
              </w:rPr>
              <w:t>D</w:t>
            </w:r>
            <w:r w:rsidRPr="00473F42">
              <w:rPr>
                <w:rFonts w:ascii="Times New Roman" w:hAnsi="Times New Roman" w:cs="Times New Roman"/>
                <w:b/>
              </w:rPr>
              <w:t>íla</w:t>
            </w:r>
          </w:p>
          <w:p w14:paraId="3C7755C3"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Záruční doba (dle okolností)</w:t>
            </w:r>
          </w:p>
        </w:tc>
      </w:tr>
    </w:tbl>
    <w:p w14:paraId="34FBBDFD" w14:textId="77777777" w:rsidR="006241F6" w:rsidRPr="00473F42" w:rsidRDefault="006241F6" w:rsidP="006241F6">
      <w:pPr>
        <w:rPr>
          <w:rFonts w:ascii="Times New Roman" w:hAnsi="Times New Roman" w:cs="Times New Roman"/>
        </w:rPr>
      </w:pPr>
    </w:p>
    <w:p w14:paraId="38B46DCD" w14:textId="77777777" w:rsidR="006241F6" w:rsidRPr="00EB47CA" w:rsidRDefault="006241F6" w:rsidP="003F49FD">
      <w:pPr>
        <w:pStyle w:val="Nadpis2"/>
        <w:rPr>
          <w:color w:val="808080" w:themeColor="background1" w:themeShade="80"/>
          <w:sz w:val="18"/>
        </w:rPr>
      </w:pPr>
      <w:r w:rsidRPr="00EB47CA">
        <w:rPr>
          <w:color w:val="808080" w:themeColor="background1" w:themeShade="80"/>
        </w:rPr>
        <w:t>Rozsah pojištění, částky, limity – majetek (CAR/EAR)</w:t>
      </w:r>
    </w:p>
    <w:tbl>
      <w:tblPr>
        <w:tblStyle w:val="Tabulkasmkou4zvraznn5"/>
        <w:tblW w:w="5000" w:type="pct"/>
        <w:tblLook w:val="0000" w:firstRow="0" w:lastRow="0" w:firstColumn="0" w:lastColumn="0" w:noHBand="0" w:noVBand="0"/>
      </w:tblPr>
      <w:tblGrid>
        <w:gridCol w:w="504"/>
        <w:gridCol w:w="2851"/>
        <w:gridCol w:w="664"/>
        <w:gridCol w:w="1586"/>
        <w:gridCol w:w="1932"/>
        <w:gridCol w:w="1519"/>
      </w:tblGrid>
      <w:tr w:rsidR="006241F6" w:rsidRPr="0096470B" w14:paraId="7AE17A17"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6"/>
          </w:tcPr>
          <w:p w14:paraId="7CE5119C" w14:textId="77777777" w:rsidR="006241F6" w:rsidRPr="00437763" w:rsidRDefault="006241F6" w:rsidP="003F49FD">
            <w:pPr>
              <w:pStyle w:val="Nadpis3"/>
              <w:outlineLvl w:val="2"/>
            </w:pPr>
            <w:r w:rsidRPr="00437763">
              <w:t>Hodnota Díla / kontraktu – pojistná částka</w:t>
            </w:r>
          </w:p>
        </w:tc>
      </w:tr>
      <w:tr w:rsidR="006241F6" w:rsidRPr="0096470B" w14:paraId="6AA29534" w14:textId="77777777" w:rsidTr="00726FB3">
        <w:tc>
          <w:tcPr>
            <w:cnfStyle w:val="000010000000" w:firstRow="0" w:lastRow="0" w:firstColumn="0" w:lastColumn="0" w:oddVBand="1" w:evenVBand="0" w:oddHBand="0" w:evenHBand="0" w:firstRowFirstColumn="0" w:firstRowLastColumn="0" w:lastRowFirstColumn="0" w:lastRowLastColumn="0"/>
            <w:tcW w:w="4161" w:type="pct"/>
            <w:gridSpan w:val="5"/>
          </w:tcPr>
          <w:p w14:paraId="3715BE44"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Celková pojistná částka stanovená klientem pro budované dílo:</w:t>
            </w:r>
          </w:p>
        </w:tc>
        <w:tc>
          <w:tcPr>
            <w:tcW w:w="839" w:type="pct"/>
          </w:tcPr>
          <w:p w14:paraId="5830FE8F"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Hodnota díla Kč</w:t>
            </w:r>
          </w:p>
        </w:tc>
      </w:tr>
      <w:tr w:rsidR="006241F6" w:rsidRPr="0096470B" w14:paraId="0620D4A0"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161" w:type="pct"/>
            <w:gridSpan w:val="5"/>
          </w:tcPr>
          <w:p w14:paraId="7A42E340"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Zařízení a vybavení staveniště (1. riziko)</w:t>
            </w:r>
          </w:p>
        </w:tc>
        <w:tc>
          <w:tcPr>
            <w:tcW w:w="839" w:type="pct"/>
          </w:tcPr>
          <w:p w14:paraId="7314F5A6"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5 000 000 Kč</w:t>
            </w:r>
          </w:p>
        </w:tc>
      </w:tr>
      <w:tr w:rsidR="006241F6" w:rsidRPr="0096470B" w14:paraId="5225BA27" w14:textId="77777777" w:rsidTr="00726FB3">
        <w:tc>
          <w:tcPr>
            <w:cnfStyle w:val="000010000000" w:firstRow="0" w:lastRow="0" w:firstColumn="0" w:lastColumn="0" w:oddVBand="1" w:evenVBand="0" w:oddHBand="0" w:evenHBand="0" w:firstRowFirstColumn="0" w:firstRowLastColumn="0" w:lastRowFirstColumn="0" w:lastRowLastColumn="0"/>
            <w:tcW w:w="4161" w:type="pct"/>
            <w:gridSpan w:val="5"/>
          </w:tcPr>
          <w:p w14:paraId="3489A038"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 xml:space="preserve">Náklady na odstranění sutin (1. riziko): </w:t>
            </w:r>
          </w:p>
        </w:tc>
        <w:tc>
          <w:tcPr>
            <w:tcW w:w="839" w:type="pct"/>
          </w:tcPr>
          <w:p w14:paraId="1ED450A0"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40 000 000 Kč</w:t>
            </w:r>
          </w:p>
        </w:tc>
      </w:tr>
      <w:tr w:rsidR="006241F6" w:rsidRPr="0096470B" w14:paraId="5341D648"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161" w:type="pct"/>
            <w:gridSpan w:val="5"/>
          </w:tcPr>
          <w:p w14:paraId="0C635492"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Náklady na dokumentaci a likvidaci pojistné události</w:t>
            </w:r>
          </w:p>
        </w:tc>
        <w:tc>
          <w:tcPr>
            <w:tcW w:w="839" w:type="pct"/>
          </w:tcPr>
          <w:p w14:paraId="59B015D1"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500 000 Kč</w:t>
            </w:r>
          </w:p>
        </w:tc>
      </w:tr>
      <w:tr w:rsidR="006241F6" w:rsidRPr="0096470B" w14:paraId="17D58EE2" w14:textId="77777777" w:rsidTr="00726FB3">
        <w:tc>
          <w:tcPr>
            <w:cnfStyle w:val="000010000000" w:firstRow="0" w:lastRow="0" w:firstColumn="0" w:lastColumn="0" w:oddVBand="1" w:evenVBand="0" w:oddHBand="0" w:evenHBand="0" w:firstRowFirstColumn="0" w:firstRowLastColumn="0" w:lastRowFirstColumn="0" w:lastRowLastColumn="0"/>
            <w:tcW w:w="5000" w:type="pct"/>
            <w:gridSpan w:val="6"/>
          </w:tcPr>
          <w:p w14:paraId="1FC65C74" w14:textId="77777777" w:rsidR="006241F6" w:rsidRPr="00437763" w:rsidRDefault="006241F6" w:rsidP="007767B4">
            <w:pPr>
              <w:pStyle w:val="Nadpis3"/>
              <w:outlineLvl w:val="2"/>
            </w:pPr>
            <w:r w:rsidRPr="00437763">
              <w:t>Pojištěná rizika</w:t>
            </w:r>
          </w:p>
        </w:tc>
      </w:tr>
      <w:tr w:rsidR="006241F6" w:rsidRPr="0096470B" w14:paraId="64C45ABE"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094" w:type="pct"/>
            <w:gridSpan w:val="4"/>
          </w:tcPr>
          <w:p w14:paraId="76D7252D" w14:textId="77777777" w:rsidR="006241F6" w:rsidRPr="00473F42" w:rsidRDefault="006241F6" w:rsidP="00726FB3">
            <w:pPr>
              <w:pStyle w:val="TableTextEV"/>
              <w:jc w:val="both"/>
              <w:rPr>
                <w:rFonts w:ascii="Times New Roman" w:hAnsi="Times New Roman" w:cs="Times New Roman"/>
              </w:rPr>
            </w:pPr>
            <w:r w:rsidRPr="00473F42">
              <w:rPr>
                <w:rFonts w:ascii="Times New Roman" w:hAnsi="Times New Roman" w:cs="Times New Roman"/>
              </w:rPr>
              <w:t>Je požadováno pojištění škod způsobených stavebně montážními riziky, živelními riziky a krádeží/loupeží</w:t>
            </w:r>
          </w:p>
        </w:tc>
        <w:tc>
          <w:tcPr>
            <w:tcW w:w="1067" w:type="pct"/>
          </w:tcPr>
          <w:p w14:paraId="36BA2E94"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Limit</w:t>
            </w:r>
          </w:p>
        </w:tc>
        <w:tc>
          <w:tcPr>
            <w:cnfStyle w:val="000010000000" w:firstRow="0" w:lastRow="0" w:firstColumn="0" w:lastColumn="0" w:oddVBand="1" w:evenVBand="0" w:oddHBand="0" w:evenHBand="0" w:firstRowFirstColumn="0" w:firstRowLastColumn="0" w:lastRowFirstColumn="0" w:lastRowLastColumn="0"/>
            <w:tcW w:w="839" w:type="pct"/>
          </w:tcPr>
          <w:p w14:paraId="1F99A7BA"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Spoluúčast</w:t>
            </w:r>
          </w:p>
        </w:tc>
      </w:tr>
      <w:tr w:rsidR="006241F6" w:rsidRPr="0096470B" w14:paraId="4DC04F48" w14:textId="77777777" w:rsidTr="00726FB3">
        <w:tc>
          <w:tcPr>
            <w:cnfStyle w:val="000010000000" w:firstRow="0" w:lastRow="0" w:firstColumn="0" w:lastColumn="0" w:oddVBand="1" w:evenVBand="0" w:oddHBand="0" w:evenHBand="0" w:firstRowFirstColumn="0" w:firstRowLastColumn="0" w:lastRowFirstColumn="0" w:lastRowLastColumn="0"/>
            <w:tcW w:w="276" w:type="pct"/>
          </w:tcPr>
          <w:p w14:paraId="5BDA127F" w14:textId="77777777" w:rsidR="006241F6" w:rsidRPr="00473F42" w:rsidRDefault="006241F6" w:rsidP="00726FB3">
            <w:pPr>
              <w:pStyle w:val="TableTextEV"/>
              <w:rPr>
                <w:rFonts w:ascii="Times New Roman" w:hAnsi="Times New Roman" w:cs="Times New Roman"/>
              </w:rPr>
            </w:pPr>
          </w:p>
        </w:tc>
        <w:tc>
          <w:tcPr>
            <w:tcW w:w="2818" w:type="pct"/>
            <w:gridSpan w:val="3"/>
          </w:tcPr>
          <w:p w14:paraId="58048C6B"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FLEXA</w:t>
            </w:r>
          </w:p>
        </w:tc>
        <w:tc>
          <w:tcPr>
            <w:cnfStyle w:val="000010000000" w:firstRow="0" w:lastRow="0" w:firstColumn="0" w:lastColumn="0" w:oddVBand="1" w:evenVBand="0" w:oddHBand="0" w:evenHBand="0" w:firstRowFirstColumn="0" w:firstRowLastColumn="0" w:lastRowFirstColumn="0" w:lastRowLastColumn="0"/>
            <w:tcW w:w="1067" w:type="pct"/>
          </w:tcPr>
          <w:p w14:paraId="418BCF7F"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Hodnota díla</w:t>
            </w:r>
          </w:p>
        </w:tc>
        <w:tc>
          <w:tcPr>
            <w:tcW w:w="839" w:type="pct"/>
          </w:tcPr>
          <w:p w14:paraId="2BA400D2"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r w:rsidR="006241F6" w:rsidRPr="0096470B" w14:paraId="08FE0ADB"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6" w:type="pct"/>
          </w:tcPr>
          <w:p w14:paraId="65AE5293" w14:textId="77777777" w:rsidR="006241F6" w:rsidRPr="00473F42" w:rsidRDefault="006241F6" w:rsidP="00726FB3">
            <w:pPr>
              <w:pStyle w:val="TableTextEV"/>
              <w:rPr>
                <w:rFonts w:ascii="Times New Roman" w:hAnsi="Times New Roman" w:cs="Times New Roman"/>
              </w:rPr>
            </w:pPr>
          </w:p>
        </w:tc>
        <w:tc>
          <w:tcPr>
            <w:tcW w:w="2818" w:type="pct"/>
            <w:gridSpan w:val="3"/>
          </w:tcPr>
          <w:p w14:paraId="6BA2ADF0"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Povodeň, záplava</w:t>
            </w:r>
          </w:p>
        </w:tc>
        <w:tc>
          <w:tcPr>
            <w:cnfStyle w:val="000010000000" w:firstRow="0" w:lastRow="0" w:firstColumn="0" w:lastColumn="0" w:oddVBand="1" w:evenVBand="0" w:oddHBand="0" w:evenHBand="0" w:firstRowFirstColumn="0" w:firstRowLastColumn="0" w:lastRowFirstColumn="0" w:lastRowLastColumn="0"/>
            <w:tcW w:w="1067" w:type="pct"/>
          </w:tcPr>
          <w:p w14:paraId="5AF7B68A"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200 000 000 Kč</w:t>
            </w:r>
          </w:p>
        </w:tc>
        <w:tc>
          <w:tcPr>
            <w:tcW w:w="839" w:type="pct"/>
            <w:vAlign w:val="top"/>
          </w:tcPr>
          <w:p w14:paraId="6C22AAC4"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r w:rsidR="006241F6" w:rsidRPr="0096470B" w14:paraId="5ADE462F" w14:textId="77777777" w:rsidTr="00726FB3">
        <w:tc>
          <w:tcPr>
            <w:cnfStyle w:val="000010000000" w:firstRow="0" w:lastRow="0" w:firstColumn="0" w:lastColumn="0" w:oddVBand="1" w:evenVBand="0" w:oddHBand="0" w:evenHBand="0" w:firstRowFirstColumn="0" w:firstRowLastColumn="0" w:lastRowFirstColumn="0" w:lastRowLastColumn="0"/>
            <w:tcW w:w="276" w:type="pct"/>
          </w:tcPr>
          <w:p w14:paraId="14F32B88" w14:textId="77777777" w:rsidR="006241F6" w:rsidRPr="00473F42" w:rsidRDefault="006241F6" w:rsidP="00726FB3">
            <w:pPr>
              <w:pStyle w:val="TableTextEV"/>
              <w:rPr>
                <w:rFonts w:ascii="Times New Roman" w:hAnsi="Times New Roman" w:cs="Times New Roman"/>
              </w:rPr>
            </w:pPr>
          </w:p>
        </w:tc>
        <w:tc>
          <w:tcPr>
            <w:tcW w:w="2818" w:type="pct"/>
            <w:gridSpan w:val="3"/>
          </w:tcPr>
          <w:p w14:paraId="4FD9CE2E"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Vichřice, krupobití</w:t>
            </w:r>
          </w:p>
        </w:tc>
        <w:tc>
          <w:tcPr>
            <w:cnfStyle w:val="000010000000" w:firstRow="0" w:lastRow="0" w:firstColumn="0" w:lastColumn="0" w:oddVBand="1" w:evenVBand="0" w:oddHBand="0" w:evenHBand="0" w:firstRowFirstColumn="0" w:firstRowLastColumn="0" w:lastRowFirstColumn="0" w:lastRowLastColumn="0"/>
            <w:tcW w:w="1067" w:type="pct"/>
          </w:tcPr>
          <w:p w14:paraId="71C7A961"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200 000 000 Kč</w:t>
            </w:r>
          </w:p>
        </w:tc>
        <w:tc>
          <w:tcPr>
            <w:tcW w:w="839" w:type="pct"/>
            <w:vAlign w:val="top"/>
          </w:tcPr>
          <w:p w14:paraId="13B9D2F2"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r w:rsidR="006241F6" w:rsidRPr="0096470B" w14:paraId="24ACA899"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6" w:type="pct"/>
          </w:tcPr>
          <w:p w14:paraId="1C3762BA" w14:textId="77777777" w:rsidR="006241F6" w:rsidRPr="00473F42" w:rsidRDefault="006241F6" w:rsidP="00726FB3">
            <w:pPr>
              <w:pStyle w:val="TableTextEV"/>
              <w:rPr>
                <w:rFonts w:ascii="Times New Roman" w:hAnsi="Times New Roman" w:cs="Times New Roman"/>
              </w:rPr>
            </w:pPr>
          </w:p>
        </w:tc>
        <w:tc>
          <w:tcPr>
            <w:tcW w:w="2818" w:type="pct"/>
            <w:gridSpan w:val="3"/>
          </w:tcPr>
          <w:p w14:paraId="13D33165" w14:textId="77777777" w:rsidR="006241F6" w:rsidRPr="00473F42" w:rsidRDefault="006241F6" w:rsidP="00726FB3">
            <w:pPr>
              <w:pStyle w:val="TableTextEV"/>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Sesouvání půdy, zřícení skal nebo zemin, sesouvání nebo zřícení lavin, zemětřesení, tíhou sněhu nebo námrazy</w:t>
            </w:r>
          </w:p>
        </w:tc>
        <w:tc>
          <w:tcPr>
            <w:cnfStyle w:val="000010000000" w:firstRow="0" w:lastRow="0" w:firstColumn="0" w:lastColumn="0" w:oddVBand="1" w:evenVBand="0" w:oddHBand="0" w:evenHBand="0" w:firstRowFirstColumn="0" w:firstRowLastColumn="0" w:lastRowFirstColumn="0" w:lastRowLastColumn="0"/>
            <w:tcW w:w="1067" w:type="pct"/>
          </w:tcPr>
          <w:p w14:paraId="281AAF88"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200 000 000 Kč</w:t>
            </w:r>
          </w:p>
        </w:tc>
        <w:tc>
          <w:tcPr>
            <w:tcW w:w="839" w:type="pct"/>
          </w:tcPr>
          <w:p w14:paraId="22CCC4F5"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r w:rsidR="006241F6" w:rsidRPr="0096470B" w14:paraId="3614493F" w14:textId="77777777" w:rsidTr="00726FB3">
        <w:tc>
          <w:tcPr>
            <w:cnfStyle w:val="000010000000" w:firstRow="0" w:lastRow="0" w:firstColumn="0" w:lastColumn="0" w:oddVBand="1" w:evenVBand="0" w:oddHBand="0" w:evenHBand="0" w:firstRowFirstColumn="0" w:firstRowLastColumn="0" w:lastRowFirstColumn="0" w:lastRowLastColumn="0"/>
            <w:tcW w:w="276" w:type="pct"/>
          </w:tcPr>
          <w:p w14:paraId="0ECCB4E6" w14:textId="77777777" w:rsidR="006241F6" w:rsidRPr="00473F42" w:rsidRDefault="006241F6" w:rsidP="00726FB3">
            <w:pPr>
              <w:pStyle w:val="TableTextEV"/>
              <w:rPr>
                <w:rFonts w:ascii="Times New Roman" w:hAnsi="Times New Roman" w:cs="Times New Roman"/>
              </w:rPr>
            </w:pPr>
          </w:p>
        </w:tc>
        <w:tc>
          <w:tcPr>
            <w:tcW w:w="2818" w:type="pct"/>
            <w:gridSpan w:val="3"/>
          </w:tcPr>
          <w:p w14:paraId="5E44A1B0"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Krádež, loupež</w:t>
            </w:r>
          </w:p>
        </w:tc>
        <w:tc>
          <w:tcPr>
            <w:cnfStyle w:val="000010000000" w:firstRow="0" w:lastRow="0" w:firstColumn="0" w:lastColumn="0" w:oddVBand="1" w:evenVBand="0" w:oddHBand="0" w:evenHBand="0" w:firstRowFirstColumn="0" w:firstRowLastColumn="0" w:lastRowFirstColumn="0" w:lastRowLastColumn="0"/>
            <w:tcW w:w="1067" w:type="pct"/>
          </w:tcPr>
          <w:p w14:paraId="09FBB761"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1 000 000 Kč</w:t>
            </w:r>
          </w:p>
        </w:tc>
        <w:tc>
          <w:tcPr>
            <w:tcW w:w="839" w:type="pct"/>
            <w:vAlign w:val="top"/>
          </w:tcPr>
          <w:p w14:paraId="18B6C0EF"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r w:rsidR="006241F6" w:rsidRPr="0096470B" w14:paraId="73FAFC30"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6" w:type="pct"/>
          </w:tcPr>
          <w:p w14:paraId="434AC71C" w14:textId="77777777" w:rsidR="006241F6" w:rsidRPr="00473F42" w:rsidRDefault="006241F6" w:rsidP="00726FB3">
            <w:pPr>
              <w:pStyle w:val="TableTextEV"/>
              <w:rPr>
                <w:rFonts w:ascii="Times New Roman" w:hAnsi="Times New Roman" w:cs="Times New Roman"/>
              </w:rPr>
            </w:pPr>
          </w:p>
        </w:tc>
        <w:tc>
          <w:tcPr>
            <w:tcW w:w="2818" w:type="pct"/>
            <w:gridSpan w:val="3"/>
          </w:tcPr>
          <w:p w14:paraId="26C5531E"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Ostatní rizika s výjimkou těch, která jsou upravena doložkami</w:t>
            </w:r>
          </w:p>
        </w:tc>
        <w:tc>
          <w:tcPr>
            <w:cnfStyle w:val="000010000000" w:firstRow="0" w:lastRow="0" w:firstColumn="0" w:lastColumn="0" w:oddVBand="1" w:evenVBand="0" w:oddHBand="0" w:evenHBand="0" w:firstRowFirstColumn="0" w:firstRowLastColumn="0" w:lastRowFirstColumn="0" w:lastRowLastColumn="0"/>
            <w:tcW w:w="1067" w:type="pct"/>
          </w:tcPr>
          <w:p w14:paraId="7B12667C"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Hodnota díla</w:t>
            </w:r>
          </w:p>
        </w:tc>
        <w:tc>
          <w:tcPr>
            <w:tcW w:w="839" w:type="pct"/>
            <w:vAlign w:val="top"/>
          </w:tcPr>
          <w:p w14:paraId="0BF292EB"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r w:rsidR="006241F6" w:rsidRPr="0096470B" w14:paraId="4E7E898A" w14:textId="77777777" w:rsidTr="00726FB3">
        <w:tc>
          <w:tcPr>
            <w:cnfStyle w:val="000010000000" w:firstRow="0" w:lastRow="0" w:firstColumn="0" w:lastColumn="0" w:oddVBand="1" w:evenVBand="0" w:oddHBand="0" w:evenHBand="0" w:firstRowFirstColumn="0" w:firstRowLastColumn="0" w:lastRowFirstColumn="0" w:lastRowLastColumn="0"/>
            <w:tcW w:w="5000" w:type="pct"/>
            <w:gridSpan w:val="6"/>
          </w:tcPr>
          <w:p w14:paraId="7EA9ADD4" w14:textId="77777777" w:rsidR="006241F6" w:rsidRPr="00437763" w:rsidRDefault="006241F6" w:rsidP="007767B4">
            <w:pPr>
              <w:pStyle w:val="Nadpis3"/>
              <w:outlineLvl w:val="2"/>
            </w:pPr>
            <w:r w:rsidRPr="00437763">
              <w:t>Záruční období</w:t>
            </w:r>
          </w:p>
        </w:tc>
      </w:tr>
      <w:tr w:rsidR="006241F6" w:rsidRPr="0096470B" w14:paraId="284020C7"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094" w:type="pct"/>
            <w:gridSpan w:val="4"/>
          </w:tcPr>
          <w:p w14:paraId="676F3FC8" w14:textId="77777777" w:rsidR="006241F6" w:rsidRPr="00473F42" w:rsidRDefault="006241F6" w:rsidP="00726FB3">
            <w:pPr>
              <w:pStyle w:val="TableTextEV"/>
              <w:jc w:val="both"/>
              <w:rPr>
                <w:rFonts w:ascii="Times New Roman" w:hAnsi="Times New Roman" w:cs="Times New Roman"/>
              </w:rPr>
            </w:pPr>
            <w:r w:rsidRPr="00473F42">
              <w:rPr>
                <w:rFonts w:ascii="Times New Roman" w:hAnsi="Times New Roman" w:cs="Times New Roman"/>
              </w:rPr>
              <w:t>Je požadováno pojištění škod způsobených stavební nebo montážní činností během záruční doby.</w:t>
            </w:r>
          </w:p>
        </w:tc>
        <w:tc>
          <w:tcPr>
            <w:tcW w:w="1067" w:type="pct"/>
          </w:tcPr>
          <w:p w14:paraId="31EED4E4"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Limit</w:t>
            </w:r>
          </w:p>
        </w:tc>
        <w:tc>
          <w:tcPr>
            <w:cnfStyle w:val="000010000000" w:firstRow="0" w:lastRow="0" w:firstColumn="0" w:lastColumn="0" w:oddVBand="1" w:evenVBand="0" w:oddHBand="0" w:evenHBand="0" w:firstRowFirstColumn="0" w:firstRowLastColumn="0" w:lastRowFirstColumn="0" w:lastRowLastColumn="0"/>
            <w:tcW w:w="839" w:type="pct"/>
          </w:tcPr>
          <w:p w14:paraId="326A049F"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Spoluúčast</w:t>
            </w:r>
          </w:p>
        </w:tc>
      </w:tr>
      <w:tr w:rsidR="006241F6" w:rsidRPr="0096470B" w14:paraId="0DAF489C" w14:textId="77777777" w:rsidTr="00726FB3">
        <w:tc>
          <w:tcPr>
            <w:cnfStyle w:val="000010000000" w:firstRow="0" w:lastRow="0" w:firstColumn="0" w:lastColumn="0" w:oddVBand="1" w:evenVBand="0" w:oddHBand="0" w:evenHBand="0" w:firstRowFirstColumn="0" w:firstRowLastColumn="0" w:lastRowFirstColumn="0" w:lastRowLastColumn="0"/>
            <w:tcW w:w="276" w:type="pct"/>
            <w:vMerge w:val="restart"/>
          </w:tcPr>
          <w:p w14:paraId="3F36440A" w14:textId="77777777" w:rsidR="006241F6" w:rsidRPr="00473F42" w:rsidRDefault="006241F6" w:rsidP="00726FB3">
            <w:pPr>
              <w:pStyle w:val="TableTextEV"/>
              <w:rPr>
                <w:rFonts w:ascii="Times New Roman" w:hAnsi="Times New Roman" w:cs="Times New Roman"/>
              </w:rPr>
            </w:pPr>
          </w:p>
        </w:tc>
        <w:tc>
          <w:tcPr>
            <w:tcW w:w="1575" w:type="pct"/>
          </w:tcPr>
          <w:p w14:paraId="1FDD13FE"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Délka trvání záruční doby:</w:t>
            </w:r>
          </w:p>
        </w:tc>
        <w:tc>
          <w:tcPr>
            <w:cnfStyle w:val="000010000000" w:firstRow="0" w:lastRow="0" w:firstColumn="0" w:lastColumn="0" w:oddVBand="1" w:evenVBand="0" w:oddHBand="0" w:evenHBand="0" w:firstRowFirstColumn="0" w:firstRowLastColumn="0" w:lastRowFirstColumn="0" w:lastRowLastColumn="0"/>
            <w:tcW w:w="367" w:type="pct"/>
          </w:tcPr>
          <w:p w14:paraId="7F54C160"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24</w:t>
            </w:r>
          </w:p>
        </w:tc>
        <w:tc>
          <w:tcPr>
            <w:tcW w:w="2782" w:type="pct"/>
            <w:gridSpan w:val="3"/>
          </w:tcPr>
          <w:p w14:paraId="718B725D"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měsíců, podle doložky (doložek):</w:t>
            </w:r>
          </w:p>
        </w:tc>
      </w:tr>
      <w:tr w:rsidR="006241F6" w:rsidRPr="0096470B" w14:paraId="1FB2454E"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6" w:type="pct"/>
            <w:vMerge/>
          </w:tcPr>
          <w:p w14:paraId="18812EAA" w14:textId="77777777" w:rsidR="006241F6" w:rsidRPr="00473F42" w:rsidRDefault="006241F6" w:rsidP="00726FB3">
            <w:pPr>
              <w:pStyle w:val="TableTextEV"/>
              <w:rPr>
                <w:rFonts w:ascii="Times New Roman" w:hAnsi="Times New Roman" w:cs="Times New Roman"/>
              </w:rPr>
            </w:pPr>
          </w:p>
        </w:tc>
        <w:tc>
          <w:tcPr>
            <w:tcW w:w="2818" w:type="pct"/>
            <w:gridSpan w:val="3"/>
          </w:tcPr>
          <w:p w14:paraId="2EE7E6C2"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004 – </w:t>
            </w:r>
            <w:proofErr w:type="spellStart"/>
            <w:r w:rsidRPr="00473F42">
              <w:rPr>
                <w:rFonts w:ascii="Times New Roman" w:hAnsi="Times New Roman" w:cs="Times New Roman"/>
              </w:rPr>
              <w:t>Extended</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Maintenance</w:t>
            </w:r>
            <w:proofErr w:type="spellEnd"/>
            <w:r w:rsidRPr="00473F42">
              <w:rPr>
                <w:rFonts w:ascii="Times New Roman" w:hAnsi="Times New Roman" w:cs="Times New Roman"/>
              </w:rPr>
              <w:t xml:space="preserve"> (rozšířený rozsah)</w:t>
            </w:r>
          </w:p>
        </w:tc>
        <w:tc>
          <w:tcPr>
            <w:cnfStyle w:val="000010000000" w:firstRow="0" w:lastRow="0" w:firstColumn="0" w:lastColumn="0" w:oddVBand="1" w:evenVBand="0" w:oddHBand="0" w:evenHBand="0" w:firstRowFirstColumn="0" w:firstRowLastColumn="0" w:lastRowFirstColumn="0" w:lastRowLastColumn="0"/>
            <w:tcW w:w="1067" w:type="pct"/>
          </w:tcPr>
          <w:p w14:paraId="118C6065"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Hodnota díla</w:t>
            </w:r>
          </w:p>
        </w:tc>
        <w:tc>
          <w:tcPr>
            <w:tcW w:w="839" w:type="pct"/>
          </w:tcPr>
          <w:p w14:paraId="515AB3D8"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200 000 Kč</w:t>
            </w:r>
          </w:p>
        </w:tc>
      </w:tr>
      <w:tr w:rsidR="006241F6" w:rsidRPr="0096470B" w14:paraId="52857DA8" w14:textId="77777777" w:rsidTr="00726FB3">
        <w:trPr>
          <w:trHeight w:val="168"/>
        </w:trPr>
        <w:tc>
          <w:tcPr>
            <w:cnfStyle w:val="000010000000" w:firstRow="0" w:lastRow="0" w:firstColumn="0" w:lastColumn="0" w:oddVBand="1" w:evenVBand="0" w:oddHBand="0" w:evenHBand="0" w:firstRowFirstColumn="0" w:firstRowLastColumn="0" w:lastRowFirstColumn="0" w:lastRowLastColumn="0"/>
            <w:tcW w:w="276" w:type="pct"/>
            <w:vMerge/>
          </w:tcPr>
          <w:p w14:paraId="15198107" w14:textId="77777777" w:rsidR="006241F6" w:rsidRPr="00473F42" w:rsidRDefault="006241F6" w:rsidP="00726FB3">
            <w:pPr>
              <w:pStyle w:val="TableTextEV"/>
              <w:rPr>
                <w:rFonts w:ascii="Times New Roman" w:hAnsi="Times New Roman" w:cs="Times New Roman"/>
              </w:rPr>
            </w:pPr>
          </w:p>
        </w:tc>
        <w:tc>
          <w:tcPr>
            <w:tcW w:w="2818" w:type="pct"/>
            <w:gridSpan w:val="3"/>
          </w:tcPr>
          <w:p w14:paraId="0E77AC28"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201 – </w:t>
            </w:r>
            <w:proofErr w:type="spellStart"/>
            <w:r w:rsidRPr="00473F42">
              <w:rPr>
                <w:rFonts w:ascii="Times New Roman" w:hAnsi="Times New Roman" w:cs="Times New Roman"/>
              </w:rPr>
              <w:t>Guarantee</w:t>
            </w:r>
            <w:proofErr w:type="spellEnd"/>
            <w:r w:rsidRPr="00473F42">
              <w:rPr>
                <w:rFonts w:ascii="Times New Roman" w:hAnsi="Times New Roman" w:cs="Times New Roman"/>
              </w:rPr>
              <w:t xml:space="preserve"> (riziko návrhu, vada materiálu)</w:t>
            </w:r>
          </w:p>
        </w:tc>
        <w:tc>
          <w:tcPr>
            <w:cnfStyle w:val="000010000000" w:firstRow="0" w:lastRow="0" w:firstColumn="0" w:lastColumn="0" w:oddVBand="1" w:evenVBand="0" w:oddHBand="0" w:evenHBand="0" w:firstRowFirstColumn="0" w:firstRowLastColumn="0" w:lastRowFirstColumn="0" w:lastRowLastColumn="0"/>
            <w:tcW w:w="1067" w:type="pct"/>
          </w:tcPr>
          <w:p w14:paraId="2014405E"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50 000 000 Kč</w:t>
            </w:r>
          </w:p>
        </w:tc>
        <w:tc>
          <w:tcPr>
            <w:tcW w:w="839" w:type="pct"/>
          </w:tcPr>
          <w:p w14:paraId="43F614B7"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200 000 Kč</w:t>
            </w:r>
          </w:p>
        </w:tc>
      </w:tr>
      <w:tr w:rsidR="006241F6" w:rsidRPr="0096470B" w14:paraId="387EC9BC"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6"/>
          </w:tcPr>
          <w:p w14:paraId="66327351" w14:textId="77777777" w:rsidR="006241F6" w:rsidRPr="00437763" w:rsidRDefault="006241F6" w:rsidP="007767B4">
            <w:pPr>
              <w:pStyle w:val="Nadpis3"/>
              <w:outlineLvl w:val="2"/>
            </w:pPr>
            <w:r w:rsidRPr="00437763">
              <w:lastRenderedPageBreak/>
              <w:t xml:space="preserve">Doložky CAR/EAR, rozsah dle standardu </w:t>
            </w:r>
            <w:proofErr w:type="spellStart"/>
            <w:r w:rsidRPr="00437763">
              <w:t>Munich</w:t>
            </w:r>
            <w:proofErr w:type="spellEnd"/>
            <w:r w:rsidRPr="00437763">
              <w:t xml:space="preserve"> RE</w:t>
            </w:r>
          </w:p>
        </w:tc>
      </w:tr>
      <w:tr w:rsidR="006241F6" w:rsidRPr="0096470B" w14:paraId="2F2D0FF8" w14:textId="77777777" w:rsidTr="00726FB3">
        <w:tc>
          <w:tcPr>
            <w:cnfStyle w:val="000010000000" w:firstRow="0" w:lastRow="0" w:firstColumn="0" w:lastColumn="0" w:oddVBand="1" w:evenVBand="0" w:oddHBand="0" w:evenHBand="0" w:firstRowFirstColumn="0" w:firstRowLastColumn="0" w:lastRowFirstColumn="0" w:lastRowLastColumn="0"/>
            <w:tcW w:w="3094" w:type="pct"/>
            <w:gridSpan w:val="4"/>
          </w:tcPr>
          <w:p w14:paraId="730E0CEE" w14:textId="77777777" w:rsidR="006241F6" w:rsidRPr="00473F42" w:rsidRDefault="006241F6" w:rsidP="00726FB3">
            <w:pPr>
              <w:pStyle w:val="TableTextEV"/>
              <w:jc w:val="both"/>
              <w:rPr>
                <w:rFonts w:ascii="Times New Roman" w:hAnsi="Times New Roman" w:cs="Times New Roman"/>
              </w:rPr>
            </w:pPr>
            <w:r w:rsidRPr="00473F42">
              <w:rPr>
                <w:rFonts w:ascii="Times New Roman" w:hAnsi="Times New Roman" w:cs="Times New Roman"/>
              </w:rPr>
              <w:t>Požadované doložky (pojištění podle těchto doložek se vztahuje pouze na období stavby / montáže):</w:t>
            </w:r>
          </w:p>
        </w:tc>
        <w:tc>
          <w:tcPr>
            <w:tcW w:w="1067" w:type="pct"/>
          </w:tcPr>
          <w:p w14:paraId="7D130C48"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Limit</w:t>
            </w:r>
          </w:p>
        </w:tc>
        <w:tc>
          <w:tcPr>
            <w:cnfStyle w:val="000010000000" w:firstRow="0" w:lastRow="0" w:firstColumn="0" w:lastColumn="0" w:oddVBand="1" w:evenVBand="0" w:oddHBand="0" w:evenHBand="0" w:firstRowFirstColumn="0" w:firstRowLastColumn="0" w:lastRowFirstColumn="0" w:lastRowLastColumn="0"/>
            <w:tcW w:w="839" w:type="pct"/>
          </w:tcPr>
          <w:p w14:paraId="5ECB0FE1"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Spoluúčast</w:t>
            </w:r>
          </w:p>
        </w:tc>
      </w:tr>
      <w:tr w:rsidR="006241F6" w:rsidRPr="0096470B" w14:paraId="43732274" w14:textId="77777777" w:rsidTr="00726FB3">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76" w:type="pct"/>
            <w:vMerge w:val="restart"/>
          </w:tcPr>
          <w:p w14:paraId="6ECA5FC7" w14:textId="77777777" w:rsidR="006241F6" w:rsidRPr="00473F42" w:rsidRDefault="006241F6" w:rsidP="00726FB3">
            <w:pPr>
              <w:pStyle w:val="TableTextEV"/>
              <w:rPr>
                <w:rFonts w:ascii="Times New Roman" w:hAnsi="Times New Roman" w:cs="Times New Roman"/>
              </w:rPr>
            </w:pPr>
          </w:p>
        </w:tc>
        <w:tc>
          <w:tcPr>
            <w:tcW w:w="2818" w:type="pct"/>
            <w:gridSpan w:val="3"/>
          </w:tcPr>
          <w:p w14:paraId="64C94875"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006 – </w:t>
            </w:r>
            <w:proofErr w:type="spellStart"/>
            <w:r w:rsidRPr="00473F42">
              <w:rPr>
                <w:rFonts w:ascii="Times New Roman" w:hAnsi="Times New Roman" w:cs="Times New Roman"/>
              </w:rPr>
              <w:t>Overtime</w:t>
            </w:r>
            <w:proofErr w:type="spellEnd"/>
            <w:r w:rsidRPr="00473F42">
              <w:rPr>
                <w:rFonts w:ascii="Times New Roman" w:hAnsi="Times New Roman" w:cs="Times New Roman"/>
              </w:rPr>
              <w:t xml:space="preserve"> (práce přesčas, expresní příplatky)</w:t>
            </w:r>
          </w:p>
        </w:tc>
        <w:tc>
          <w:tcPr>
            <w:cnfStyle w:val="000010000000" w:firstRow="0" w:lastRow="0" w:firstColumn="0" w:lastColumn="0" w:oddVBand="1" w:evenVBand="0" w:oddHBand="0" w:evenHBand="0" w:firstRowFirstColumn="0" w:firstRowLastColumn="0" w:lastRowFirstColumn="0" w:lastRowLastColumn="0"/>
            <w:tcW w:w="1067" w:type="pct"/>
          </w:tcPr>
          <w:p w14:paraId="18ED9164"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20 %,</w:t>
            </w:r>
          </w:p>
          <w:p w14:paraId="6CEF577B"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max. 5 000 000 Kč</w:t>
            </w:r>
          </w:p>
        </w:tc>
        <w:tc>
          <w:tcPr>
            <w:tcW w:w="839" w:type="pct"/>
          </w:tcPr>
          <w:p w14:paraId="34FC05B1"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473F42">
              <w:rPr>
                <w:rFonts w:ascii="Times New Roman" w:hAnsi="Times New Roman" w:cs="Times New Roman"/>
              </w:rPr>
              <w:t>20%</w:t>
            </w:r>
            <w:proofErr w:type="gramEnd"/>
            <w:r w:rsidRPr="00473F42">
              <w:rPr>
                <w:rFonts w:ascii="Times New Roman" w:hAnsi="Times New Roman" w:cs="Times New Roman"/>
              </w:rPr>
              <w:t>,               min. 100 000 Kč</w:t>
            </w:r>
          </w:p>
        </w:tc>
      </w:tr>
      <w:tr w:rsidR="006241F6" w:rsidRPr="0096470B" w14:paraId="55D0F67D" w14:textId="77777777" w:rsidTr="00726FB3">
        <w:trPr>
          <w:trHeight w:val="122"/>
        </w:trPr>
        <w:tc>
          <w:tcPr>
            <w:cnfStyle w:val="000010000000" w:firstRow="0" w:lastRow="0" w:firstColumn="0" w:lastColumn="0" w:oddVBand="1" w:evenVBand="0" w:oddHBand="0" w:evenHBand="0" w:firstRowFirstColumn="0" w:firstRowLastColumn="0" w:lastRowFirstColumn="0" w:lastRowLastColumn="0"/>
            <w:tcW w:w="276" w:type="pct"/>
            <w:vMerge/>
            <w:tcBorders>
              <w:bottom w:val="single" w:sz="4" w:space="0" w:color="auto"/>
            </w:tcBorders>
          </w:tcPr>
          <w:p w14:paraId="32FD9D19" w14:textId="77777777" w:rsidR="006241F6" w:rsidRPr="00473F42" w:rsidRDefault="006241F6" w:rsidP="00726FB3">
            <w:pPr>
              <w:pStyle w:val="TableTextEV"/>
              <w:rPr>
                <w:rFonts w:ascii="Times New Roman" w:hAnsi="Times New Roman" w:cs="Times New Roman"/>
              </w:rPr>
            </w:pPr>
          </w:p>
        </w:tc>
        <w:tc>
          <w:tcPr>
            <w:tcW w:w="2818" w:type="pct"/>
            <w:gridSpan w:val="3"/>
          </w:tcPr>
          <w:p w14:paraId="4680A392"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007 – </w:t>
            </w:r>
            <w:proofErr w:type="spellStart"/>
            <w:r w:rsidRPr="00473F42">
              <w:rPr>
                <w:rFonts w:ascii="Times New Roman" w:hAnsi="Times New Roman" w:cs="Times New Roman"/>
              </w:rPr>
              <w:t>Airfreight</w:t>
            </w:r>
            <w:proofErr w:type="spellEnd"/>
            <w:r w:rsidRPr="00473F42">
              <w:rPr>
                <w:rFonts w:ascii="Times New Roman" w:hAnsi="Times New Roman" w:cs="Times New Roman"/>
              </w:rPr>
              <w:t xml:space="preserve"> (letecké dodávky)</w:t>
            </w:r>
          </w:p>
        </w:tc>
        <w:tc>
          <w:tcPr>
            <w:cnfStyle w:val="000010000000" w:firstRow="0" w:lastRow="0" w:firstColumn="0" w:lastColumn="0" w:oddVBand="1" w:evenVBand="0" w:oddHBand="0" w:evenHBand="0" w:firstRowFirstColumn="0" w:firstRowLastColumn="0" w:lastRowFirstColumn="0" w:lastRowLastColumn="0"/>
            <w:tcW w:w="1067" w:type="pct"/>
          </w:tcPr>
          <w:p w14:paraId="500FE98F"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5 000 000 Kč</w:t>
            </w:r>
          </w:p>
        </w:tc>
        <w:tc>
          <w:tcPr>
            <w:tcW w:w="839" w:type="pct"/>
          </w:tcPr>
          <w:p w14:paraId="0D8004C5"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473F42">
              <w:rPr>
                <w:rFonts w:ascii="Times New Roman" w:hAnsi="Times New Roman" w:cs="Times New Roman"/>
              </w:rPr>
              <w:t>20%</w:t>
            </w:r>
            <w:proofErr w:type="gramEnd"/>
            <w:r w:rsidRPr="00473F42">
              <w:rPr>
                <w:rFonts w:ascii="Times New Roman" w:hAnsi="Times New Roman" w:cs="Times New Roman"/>
              </w:rPr>
              <w:t xml:space="preserve">, </w:t>
            </w:r>
          </w:p>
          <w:p w14:paraId="0343A9AD"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min. 100 000 Kč</w:t>
            </w:r>
          </w:p>
        </w:tc>
      </w:tr>
      <w:tr w:rsidR="006241F6" w:rsidRPr="0096470B" w14:paraId="769D459E"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6" w:type="pct"/>
            <w:tcBorders>
              <w:top w:val="single" w:sz="4" w:space="0" w:color="auto"/>
              <w:left w:val="single" w:sz="4" w:space="0" w:color="auto"/>
              <w:bottom w:val="nil"/>
              <w:right w:val="single" w:sz="4" w:space="0" w:color="auto"/>
            </w:tcBorders>
          </w:tcPr>
          <w:p w14:paraId="4C8CEC6F" w14:textId="77777777" w:rsidR="006241F6" w:rsidRPr="00473F42" w:rsidRDefault="006241F6" w:rsidP="00726FB3">
            <w:pPr>
              <w:pStyle w:val="TableTextEV"/>
              <w:rPr>
                <w:rFonts w:ascii="Times New Roman" w:hAnsi="Times New Roman" w:cs="Times New Roman"/>
              </w:rPr>
            </w:pPr>
          </w:p>
        </w:tc>
        <w:tc>
          <w:tcPr>
            <w:tcW w:w="1575" w:type="pct"/>
            <w:tcBorders>
              <w:left w:val="single" w:sz="4" w:space="0" w:color="auto"/>
            </w:tcBorders>
          </w:tcPr>
          <w:p w14:paraId="555732B1"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Délka trvání zkušebního provozu</w:t>
            </w:r>
            <w:r w:rsidRPr="00473F42">
              <w:rPr>
                <w:rStyle w:val="Znakapoznpodarou"/>
                <w:rFonts w:ascii="Times New Roman" w:hAnsi="Times New Roman" w:cs="Times New Roman"/>
              </w:rPr>
              <w:footnoteReference w:id="2"/>
            </w:r>
            <w:r w:rsidRPr="00473F42">
              <w:rPr>
                <w:rFonts w:ascii="Times New Roman" w:hAnsi="Times New Roman" w:cs="Times New Roman"/>
              </w:rPr>
              <w:t>:</w:t>
            </w:r>
          </w:p>
        </w:tc>
        <w:tc>
          <w:tcPr>
            <w:cnfStyle w:val="000010000000" w:firstRow="0" w:lastRow="0" w:firstColumn="0" w:lastColumn="0" w:oddVBand="1" w:evenVBand="0" w:oddHBand="0" w:evenHBand="0" w:firstRowFirstColumn="0" w:firstRowLastColumn="0" w:lastRowFirstColumn="0" w:lastRowLastColumn="0"/>
            <w:tcW w:w="367" w:type="pct"/>
          </w:tcPr>
          <w:p w14:paraId="0D409E60"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12</w:t>
            </w:r>
          </w:p>
        </w:tc>
        <w:tc>
          <w:tcPr>
            <w:tcW w:w="2782" w:type="pct"/>
            <w:gridSpan w:val="3"/>
          </w:tcPr>
          <w:p w14:paraId="030875D6"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týdnů, podle doložky:</w:t>
            </w:r>
          </w:p>
        </w:tc>
      </w:tr>
      <w:tr w:rsidR="006241F6" w:rsidRPr="0096470B" w14:paraId="53357E1F" w14:textId="77777777" w:rsidTr="00726FB3">
        <w:tc>
          <w:tcPr>
            <w:cnfStyle w:val="000010000000" w:firstRow="0" w:lastRow="0" w:firstColumn="0" w:lastColumn="0" w:oddVBand="1" w:evenVBand="0" w:oddHBand="0" w:evenHBand="0" w:firstRowFirstColumn="0" w:firstRowLastColumn="0" w:lastRowFirstColumn="0" w:lastRowLastColumn="0"/>
            <w:tcW w:w="276" w:type="pct"/>
            <w:tcBorders>
              <w:top w:val="nil"/>
              <w:left w:val="single" w:sz="4" w:space="0" w:color="auto"/>
              <w:bottom w:val="single" w:sz="4" w:space="0" w:color="auto"/>
              <w:right w:val="single" w:sz="4" w:space="0" w:color="auto"/>
            </w:tcBorders>
          </w:tcPr>
          <w:p w14:paraId="0A84A50E" w14:textId="77777777" w:rsidR="006241F6" w:rsidRPr="00473F42" w:rsidRDefault="006241F6" w:rsidP="00726FB3">
            <w:pPr>
              <w:pStyle w:val="TableTextEV"/>
              <w:rPr>
                <w:rFonts w:ascii="Times New Roman" w:hAnsi="Times New Roman" w:cs="Times New Roman"/>
                <w:sz w:val="14"/>
              </w:rPr>
            </w:pPr>
            <w:r w:rsidRPr="00473F42">
              <w:rPr>
                <w:rFonts w:ascii="Times New Roman" w:hAnsi="Times New Roman" w:cs="Times New Roman"/>
                <w:sz w:val="14"/>
              </w:rPr>
              <w:t>CAR</w:t>
            </w:r>
          </w:p>
        </w:tc>
        <w:tc>
          <w:tcPr>
            <w:tcW w:w="2818" w:type="pct"/>
            <w:gridSpan w:val="3"/>
            <w:tcBorders>
              <w:left w:val="single" w:sz="4" w:space="0" w:color="auto"/>
            </w:tcBorders>
          </w:tcPr>
          <w:p w14:paraId="1DBCCECC"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100 – Testing </w:t>
            </w:r>
            <w:proofErr w:type="spellStart"/>
            <w:r w:rsidRPr="00473F42">
              <w:rPr>
                <w:rFonts w:ascii="Times New Roman" w:hAnsi="Times New Roman" w:cs="Times New Roman"/>
              </w:rPr>
              <w:t>of</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Machinery</w:t>
            </w:r>
            <w:proofErr w:type="spellEnd"/>
            <w:r w:rsidRPr="00473F42">
              <w:rPr>
                <w:rFonts w:ascii="Times New Roman" w:hAnsi="Times New Roman" w:cs="Times New Roman"/>
              </w:rPr>
              <w:t xml:space="preserve"> and </w:t>
            </w:r>
            <w:proofErr w:type="spellStart"/>
            <w:r w:rsidRPr="00473F42">
              <w:rPr>
                <w:rFonts w:ascii="Times New Roman" w:hAnsi="Times New Roman" w:cs="Times New Roman"/>
              </w:rPr>
              <w:t>Installations</w:t>
            </w:r>
            <w:proofErr w:type="spellEnd"/>
            <w:r w:rsidRPr="00473F42">
              <w:rPr>
                <w:rFonts w:ascii="Times New Roman" w:hAnsi="Times New Roman" w:cs="Times New Roman"/>
              </w:rPr>
              <w:t xml:space="preserve"> (zkušební provoz)</w:t>
            </w:r>
          </w:p>
        </w:tc>
        <w:tc>
          <w:tcPr>
            <w:cnfStyle w:val="000010000000" w:firstRow="0" w:lastRow="0" w:firstColumn="0" w:lastColumn="0" w:oddVBand="1" w:evenVBand="0" w:oddHBand="0" w:evenHBand="0" w:firstRowFirstColumn="0" w:firstRowLastColumn="0" w:lastRowFirstColumn="0" w:lastRowLastColumn="0"/>
            <w:tcW w:w="1067" w:type="pct"/>
          </w:tcPr>
          <w:p w14:paraId="6F56313D"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Hodnota díla</w:t>
            </w:r>
          </w:p>
        </w:tc>
        <w:tc>
          <w:tcPr>
            <w:tcW w:w="839" w:type="pct"/>
          </w:tcPr>
          <w:p w14:paraId="58ABD5CA"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200 000 Kč</w:t>
            </w:r>
          </w:p>
        </w:tc>
      </w:tr>
      <w:tr w:rsidR="006241F6" w:rsidRPr="0096470B" w14:paraId="5792D97C"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6" w:type="pct"/>
            <w:tcBorders>
              <w:top w:val="nil"/>
              <w:left w:val="single" w:sz="4" w:space="0" w:color="auto"/>
              <w:bottom w:val="single" w:sz="4" w:space="0" w:color="auto"/>
              <w:right w:val="single" w:sz="4" w:space="0" w:color="auto"/>
            </w:tcBorders>
          </w:tcPr>
          <w:p w14:paraId="46346000" w14:textId="77777777" w:rsidR="006241F6" w:rsidRPr="00473F42" w:rsidRDefault="006241F6" w:rsidP="00726FB3">
            <w:pPr>
              <w:pStyle w:val="TableTextEV"/>
              <w:rPr>
                <w:rFonts w:ascii="Times New Roman" w:hAnsi="Times New Roman" w:cs="Times New Roman"/>
                <w:sz w:val="14"/>
              </w:rPr>
            </w:pPr>
          </w:p>
        </w:tc>
        <w:tc>
          <w:tcPr>
            <w:tcW w:w="2818" w:type="pct"/>
            <w:gridSpan w:val="3"/>
            <w:tcBorders>
              <w:left w:val="single" w:sz="4" w:space="0" w:color="auto"/>
            </w:tcBorders>
          </w:tcPr>
          <w:p w14:paraId="6253B9B0"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115 – </w:t>
            </w:r>
            <w:proofErr w:type="spellStart"/>
            <w:r w:rsidRPr="00473F42">
              <w:rPr>
                <w:rFonts w:ascii="Times New Roman" w:hAnsi="Times New Roman" w:cs="Times New Roman"/>
              </w:rPr>
              <w:t>Designer’s</w:t>
            </w:r>
            <w:proofErr w:type="spellEnd"/>
            <w:r w:rsidRPr="00473F42">
              <w:rPr>
                <w:rFonts w:ascii="Times New Roman" w:hAnsi="Times New Roman" w:cs="Times New Roman"/>
              </w:rPr>
              <w:t xml:space="preserve"> Risk (riziko návrhu), limit</w:t>
            </w:r>
          </w:p>
        </w:tc>
        <w:tc>
          <w:tcPr>
            <w:cnfStyle w:val="000010000000" w:firstRow="0" w:lastRow="0" w:firstColumn="0" w:lastColumn="0" w:oddVBand="1" w:evenVBand="0" w:oddHBand="0" w:evenHBand="0" w:firstRowFirstColumn="0" w:firstRowLastColumn="0" w:lastRowFirstColumn="0" w:lastRowLastColumn="0"/>
            <w:tcW w:w="1067" w:type="pct"/>
          </w:tcPr>
          <w:p w14:paraId="41077F09"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30 000 000 Kč</w:t>
            </w:r>
          </w:p>
        </w:tc>
        <w:tc>
          <w:tcPr>
            <w:tcW w:w="839" w:type="pct"/>
          </w:tcPr>
          <w:p w14:paraId="57A15DE6"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w:t>
            </w:r>
          </w:p>
          <w:p w14:paraId="649C3464"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 min. 200 000 Kč</w:t>
            </w:r>
          </w:p>
        </w:tc>
      </w:tr>
      <w:tr w:rsidR="006241F6" w:rsidRPr="0096470B" w14:paraId="5C1D21B4" w14:textId="77777777" w:rsidTr="00726FB3">
        <w:tc>
          <w:tcPr>
            <w:cnfStyle w:val="000010000000" w:firstRow="0" w:lastRow="0" w:firstColumn="0" w:lastColumn="0" w:oddVBand="1" w:evenVBand="0" w:oddHBand="0" w:evenHBand="0" w:firstRowFirstColumn="0" w:firstRowLastColumn="0" w:lastRowFirstColumn="0" w:lastRowLastColumn="0"/>
            <w:tcW w:w="276" w:type="pct"/>
            <w:tcBorders>
              <w:top w:val="single" w:sz="4" w:space="0" w:color="auto"/>
              <w:left w:val="single" w:sz="4" w:space="0" w:color="auto"/>
              <w:bottom w:val="single" w:sz="4" w:space="0" w:color="auto"/>
              <w:right w:val="single" w:sz="4" w:space="0" w:color="auto"/>
            </w:tcBorders>
          </w:tcPr>
          <w:p w14:paraId="37AE5F3C" w14:textId="77777777" w:rsidR="006241F6" w:rsidRPr="00473F42" w:rsidRDefault="006241F6" w:rsidP="00726FB3">
            <w:pPr>
              <w:pStyle w:val="TableTextEV"/>
              <w:rPr>
                <w:rFonts w:ascii="Times New Roman" w:hAnsi="Times New Roman" w:cs="Times New Roman"/>
                <w:sz w:val="14"/>
              </w:rPr>
            </w:pPr>
          </w:p>
        </w:tc>
        <w:tc>
          <w:tcPr>
            <w:tcW w:w="2818" w:type="pct"/>
            <w:gridSpan w:val="3"/>
            <w:tcBorders>
              <w:left w:val="single" w:sz="4" w:space="0" w:color="auto"/>
            </w:tcBorders>
          </w:tcPr>
          <w:p w14:paraId="37885DEF"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116 – </w:t>
            </w:r>
            <w:proofErr w:type="spellStart"/>
            <w:r w:rsidRPr="00473F42">
              <w:rPr>
                <w:rFonts w:ascii="Times New Roman" w:hAnsi="Times New Roman" w:cs="Times New Roman"/>
              </w:rPr>
              <w:t>Contract</w:t>
            </w:r>
            <w:proofErr w:type="spellEnd"/>
            <w:r w:rsidRPr="00473F42">
              <w:rPr>
                <w:rFonts w:ascii="Times New Roman" w:hAnsi="Times New Roman" w:cs="Times New Roman"/>
              </w:rPr>
              <w:t xml:space="preserve"> Works </w:t>
            </w:r>
            <w:proofErr w:type="spellStart"/>
            <w:r w:rsidRPr="00473F42">
              <w:rPr>
                <w:rFonts w:ascii="Times New Roman" w:hAnsi="Times New Roman" w:cs="Times New Roman"/>
              </w:rPr>
              <w:t>Taken</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Over</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or</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Put</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into</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Service</w:t>
            </w:r>
            <w:proofErr w:type="spellEnd"/>
            <w:r w:rsidRPr="00473F42">
              <w:rPr>
                <w:rFonts w:ascii="Times New Roman" w:hAnsi="Times New Roman" w:cs="Times New Roman"/>
              </w:rPr>
              <w:t xml:space="preserve"> (pojištění po uvedení do provozu…)</w:t>
            </w:r>
          </w:p>
        </w:tc>
        <w:tc>
          <w:tcPr>
            <w:cnfStyle w:val="000010000000" w:firstRow="0" w:lastRow="0" w:firstColumn="0" w:lastColumn="0" w:oddVBand="1" w:evenVBand="0" w:oddHBand="0" w:evenHBand="0" w:firstRowFirstColumn="0" w:firstRowLastColumn="0" w:lastRowFirstColumn="0" w:lastRowLastColumn="0"/>
            <w:tcW w:w="1067" w:type="pct"/>
          </w:tcPr>
          <w:p w14:paraId="05886B33"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Hodnota díla</w:t>
            </w:r>
          </w:p>
        </w:tc>
        <w:tc>
          <w:tcPr>
            <w:tcW w:w="839" w:type="pct"/>
          </w:tcPr>
          <w:p w14:paraId="5D85410B"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r w:rsidR="006241F6" w:rsidRPr="0096470B" w14:paraId="24347CF7"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6" w:type="pct"/>
          </w:tcPr>
          <w:p w14:paraId="64A2E702" w14:textId="77777777" w:rsidR="006241F6" w:rsidRPr="00473F42" w:rsidRDefault="006241F6" w:rsidP="00726FB3">
            <w:pPr>
              <w:pStyle w:val="TableTextEV"/>
              <w:rPr>
                <w:rFonts w:ascii="Times New Roman" w:hAnsi="Times New Roman" w:cs="Times New Roman"/>
                <w:sz w:val="14"/>
              </w:rPr>
            </w:pPr>
          </w:p>
        </w:tc>
        <w:tc>
          <w:tcPr>
            <w:tcW w:w="2818" w:type="pct"/>
            <w:gridSpan w:val="3"/>
          </w:tcPr>
          <w:p w14:paraId="588511CA"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119 – </w:t>
            </w:r>
            <w:proofErr w:type="spellStart"/>
            <w:r w:rsidRPr="00473F42">
              <w:rPr>
                <w:rFonts w:ascii="Times New Roman" w:hAnsi="Times New Roman" w:cs="Times New Roman"/>
              </w:rPr>
              <w:t>Existing</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Property</w:t>
            </w:r>
            <w:proofErr w:type="spellEnd"/>
            <w:r w:rsidRPr="00473F42">
              <w:rPr>
                <w:rFonts w:ascii="Times New Roman" w:hAnsi="Times New Roman" w:cs="Times New Roman"/>
              </w:rPr>
              <w:t xml:space="preserve">, in Care, </w:t>
            </w:r>
            <w:proofErr w:type="spellStart"/>
            <w:r w:rsidRPr="00473F42">
              <w:rPr>
                <w:rFonts w:ascii="Times New Roman" w:hAnsi="Times New Roman" w:cs="Times New Roman"/>
              </w:rPr>
              <w:t>Custody</w:t>
            </w:r>
            <w:proofErr w:type="spellEnd"/>
          </w:p>
          <w:p w14:paraId="040858F7"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(okolní majetek)</w:t>
            </w:r>
          </w:p>
        </w:tc>
        <w:tc>
          <w:tcPr>
            <w:cnfStyle w:val="000010000000" w:firstRow="0" w:lastRow="0" w:firstColumn="0" w:lastColumn="0" w:oddVBand="1" w:evenVBand="0" w:oddHBand="0" w:evenHBand="0" w:firstRowFirstColumn="0" w:firstRowLastColumn="0" w:lastRowFirstColumn="0" w:lastRowLastColumn="0"/>
            <w:tcW w:w="1067" w:type="pct"/>
          </w:tcPr>
          <w:p w14:paraId="4F49A265"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200 000 000 Kč</w:t>
            </w:r>
          </w:p>
          <w:p w14:paraId="56E7CC0A"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(1. riziko)</w:t>
            </w:r>
          </w:p>
        </w:tc>
        <w:tc>
          <w:tcPr>
            <w:tcW w:w="839" w:type="pct"/>
          </w:tcPr>
          <w:p w14:paraId="158B8330"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r w:rsidR="006241F6" w:rsidRPr="0096470B" w14:paraId="05962D55" w14:textId="77777777" w:rsidTr="00726FB3">
        <w:trPr>
          <w:trHeight w:val="302"/>
        </w:trPr>
        <w:tc>
          <w:tcPr>
            <w:cnfStyle w:val="000010000000" w:firstRow="0" w:lastRow="0" w:firstColumn="0" w:lastColumn="0" w:oddVBand="1" w:evenVBand="0" w:oddHBand="0" w:evenHBand="0" w:firstRowFirstColumn="0" w:firstRowLastColumn="0" w:lastRowFirstColumn="0" w:lastRowLastColumn="0"/>
            <w:tcW w:w="276" w:type="pct"/>
          </w:tcPr>
          <w:p w14:paraId="0CAACFDF" w14:textId="77777777" w:rsidR="006241F6" w:rsidRPr="00473F42" w:rsidRDefault="006241F6" w:rsidP="00726FB3">
            <w:pPr>
              <w:pStyle w:val="TableTextEV"/>
              <w:rPr>
                <w:rFonts w:ascii="Times New Roman" w:hAnsi="Times New Roman" w:cs="Times New Roman"/>
                <w:sz w:val="14"/>
              </w:rPr>
            </w:pPr>
            <w:r w:rsidRPr="00473F42">
              <w:rPr>
                <w:rFonts w:ascii="Times New Roman" w:hAnsi="Times New Roman" w:cs="Times New Roman"/>
                <w:sz w:val="14"/>
              </w:rPr>
              <w:t>EAR</w:t>
            </w:r>
          </w:p>
        </w:tc>
        <w:tc>
          <w:tcPr>
            <w:tcW w:w="2818" w:type="pct"/>
            <w:gridSpan w:val="3"/>
          </w:tcPr>
          <w:p w14:paraId="0FF56413"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200 – </w:t>
            </w:r>
            <w:proofErr w:type="spellStart"/>
            <w:r w:rsidRPr="00473F42">
              <w:rPr>
                <w:rFonts w:ascii="Times New Roman" w:hAnsi="Times New Roman" w:cs="Times New Roman"/>
              </w:rPr>
              <w:t>Manufacturer’s</w:t>
            </w:r>
            <w:proofErr w:type="spellEnd"/>
            <w:r w:rsidRPr="00473F42">
              <w:rPr>
                <w:rFonts w:ascii="Times New Roman" w:hAnsi="Times New Roman" w:cs="Times New Roman"/>
              </w:rPr>
              <w:t xml:space="preserve"> Risk (riziko výrobce, návrhu)</w:t>
            </w:r>
          </w:p>
        </w:tc>
        <w:tc>
          <w:tcPr>
            <w:cnfStyle w:val="000010000000" w:firstRow="0" w:lastRow="0" w:firstColumn="0" w:lastColumn="0" w:oddVBand="1" w:evenVBand="0" w:oddHBand="0" w:evenHBand="0" w:firstRowFirstColumn="0" w:firstRowLastColumn="0" w:lastRowFirstColumn="0" w:lastRowLastColumn="0"/>
            <w:tcW w:w="1067" w:type="pct"/>
          </w:tcPr>
          <w:p w14:paraId="540CDA02"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30 000 000 Kč</w:t>
            </w:r>
          </w:p>
        </w:tc>
        <w:tc>
          <w:tcPr>
            <w:tcW w:w="839" w:type="pct"/>
          </w:tcPr>
          <w:p w14:paraId="0C1465E8"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200 000 Kč</w:t>
            </w:r>
          </w:p>
        </w:tc>
      </w:tr>
      <w:tr w:rsidR="006241F6" w:rsidRPr="0096470B" w14:paraId="57EF0D04"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6" w:type="pct"/>
          </w:tcPr>
          <w:p w14:paraId="6D55C442" w14:textId="77777777" w:rsidR="006241F6" w:rsidRPr="00473F42" w:rsidRDefault="006241F6" w:rsidP="00726FB3">
            <w:pPr>
              <w:pStyle w:val="TableTextEV"/>
              <w:jc w:val="right"/>
              <w:rPr>
                <w:rFonts w:ascii="Times New Roman" w:hAnsi="Times New Roman" w:cs="Times New Roman"/>
              </w:rPr>
            </w:pPr>
          </w:p>
        </w:tc>
        <w:tc>
          <w:tcPr>
            <w:tcW w:w="2818" w:type="pct"/>
            <w:gridSpan w:val="3"/>
          </w:tcPr>
          <w:p w14:paraId="0E570287"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202 – </w:t>
            </w:r>
            <w:proofErr w:type="spellStart"/>
            <w:r w:rsidRPr="00473F42">
              <w:rPr>
                <w:rFonts w:ascii="Times New Roman" w:hAnsi="Times New Roman" w:cs="Times New Roman"/>
              </w:rPr>
              <w:t>Construction</w:t>
            </w:r>
            <w:proofErr w:type="spellEnd"/>
            <w:r w:rsidRPr="00473F42">
              <w:rPr>
                <w:rFonts w:ascii="Times New Roman" w:hAnsi="Times New Roman" w:cs="Times New Roman"/>
              </w:rPr>
              <w:t>/</w:t>
            </w:r>
            <w:proofErr w:type="spellStart"/>
            <w:r w:rsidRPr="00473F42">
              <w:rPr>
                <w:rFonts w:ascii="Times New Roman" w:hAnsi="Times New Roman" w:cs="Times New Roman"/>
              </w:rPr>
              <w:t>Erection</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Machinery</w:t>
            </w:r>
            <w:proofErr w:type="spellEnd"/>
          </w:p>
          <w:p w14:paraId="3B08B3E9" w14:textId="77777777" w:rsidR="006241F6" w:rsidRPr="00473F42" w:rsidRDefault="006241F6" w:rsidP="00726FB3">
            <w:pPr>
              <w:pStyle w:val="TableTextEV"/>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 xml:space="preserve">(stavební/montážní stroje) </w:t>
            </w:r>
          </w:p>
        </w:tc>
        <w:tc>
          <w:tcPr>
            <w:cnfStyle w:val="000010000000" w:firstRow="0" w:lastRow="0" w:firstColumn="0" w:lastColumn="0" w:oddVBand="1" w:evenVBand="0" w:oddHBand="0" w:evenHBand="0" w:firstRowFirstColumn="0" w:firstRowLastColumn="0" w:lastRowFirstColumn="0" w:lastRowLastColumn="0"/>
            <w:tcW w:w="1067" w:type="pct"/>
          </w:tcPr>
          <w:p w14:paraId="57EAB454"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5 000 000 Kč</w:t>
            </w:r>
          </w:p>
        </w:tc>
        <w:tc>
          <w:tcPr>
            <w:tcW w:w="839" w:type="pct"/>
          </w:tcPr>
          <w:p w14:paraId="6214EDAE"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100 000 Kč</w:t>
            </w:r>
          </w:p>
        </w:tc>
      </w:tr>
    </w:tbl>
    <w:p w14:paraId="08D3465F" w14:textId="77777777" w:rsidR="006241F6" w:rsidRPr="00473F42" w:rsidRDefault="006241F6" w:rsidP="006241F6">
      <w:pPr>
        <w:rPr>
          <w:rFonts w:ascii="Times New Roman" w:hAnsi="Times New Roman" w:cs="Times New Roman"/>
        </w:rPr>
      </w:pPr>
    </w:p>
    <w:p w14:paraId="2C3F5DEA" w14:textId="77777777" w:rsidR="006241F6" w:rsidRPr="00EB47CA" w:rsidRDefault="006241F6" w:rsidP="00AA4031">
      <w:pPr>
        <w:pStyle w:val="Nadpis2"/>
        <w:rPr>
          <w:color w:val="808080" w:themeColor="background1" w:themeShade="80"/>
          <w:sz w:val="18"/>
        </w:rPr>
      </w:pPr>
      <w:r w:rsidRPr="00EB47CA">
        <w:rPr>
          <w:color w:val="808080" w:themeColor="background1" w:themeShade="80"/>
        </w:rPr>
        <w:t>Rozsah pojištění, částky, limity – odpovědnost (</w:t>
      </w:r>
      <w:proofErr w:type="spellStart"/>
      <w:r w:rsidRPr="00EB47CA">
        <w:rPr>
          <w:color w:val="808080" w:themeColor="background1" w:themeShade="80"/>
        </w:rPr>
        <w:t>Liability</w:t>
      </w:r>
      <w:proofErr w:type="spellEnd"/>
      <w:r w:rsidRPr="00EB47CA">
        <w:rPr>
          <w:color w:val="808080" w:themeColor="background1" w:themeShade="80"/>
        </w:rPr>
        <w:t>)</w:t>
      </w:r>
    </w:p>
    <w:tbl>
      <w:tblPr>
        <w:tblStyle w:val="Tabulkasmkou4zvraznn5"/>
        <w:tblW w:w="5000" w:type="pct"/>
        <w:tblLook w:val="0000" w:firstRow="0" w:lastRow="0" w:firstColumn="0" w:lastColumn="0" w:noHBand="0" w:noVBand="0"/>
      </w:tblPr>
      <w:tblGrid>
        <w:gridCol w:w="5682"/>
        <w:gridCol w:w="1456"/>
        <w:gridCol w:w="1918"/>
      </w:tblGrid>
      <w:tr w:rsidR="006241F6" w:rsidRPr="0096470B" w14:paraId="7E75B7A0"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3"/>
          </w:tcPr>
          <w:p w14:paraId="1602A4B7"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Je požadováno pojištění odpovědnosti vůči třetím osobám (mimo pojištěné subjekty)</w:t>
            </w:r>
          </w:p>
        </w:tc>
      </w:tr>
      <w:tr w:rsidR="006241F6" w:rsidRPr="0096470B" w14:paraId="339E6131" w14:textId="77777777" w:rsidTr="00726FB3">
        <w:tc>
          <w:tcPr>
            <w:cnfStyle w:val="000010000000" w:firstRow="0" w:lastRow="0" w:firstColumn="0" w:lastColumn="0" w:oddVBand="1" w:evenVBand="0" w:oddHBand="0" w:evenHBand="0" w:firstRowFirstColumn="0" w:firstRowLastColumn="0" w:lastRowFirstColumn="0" w:lastRowLastColumn="0"/>
            <w:tcW w:w="3941" w:type="pct"/>
            <w:gridSpan w:val="2"/>
          </w:tcPr>
          <w:p w14:paraId="05126958"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Pojistná částka (limit plnění) pro jednu škodní událost:</w:t>
            </w:r>
          </w:p>
        </w:tc>
        <w:tc>
          <w:tcPr>
            <w:tcW w:w="1059" w:type="pct"/>
          </w:tcPr>
          <w:p w14:paraId="2E5FFDF5"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200 000 000 Kč</w:t>
            </w:r>
          </w:p>
        </w:tc>
      </w:tr>
      <w:tr w:rsidR="006241F6" w:rsidRPr="0096470B" w14:paraId="44E09970"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3"/>
          </w:tcPr>
          <w:p w14:paraId="5E036FB0" w14:textId="77777777" w:rsidR="006241F6" w:rsidRPr="00437763" w:rsidRDefault="006241F6" w:rsidP="00AA4031">
            <w:pPr>
              <w:pStyle w:val="Nadpis3"/>
              <w:outlineLvl w:val="2"/>
            </w:pPr>
            <w:r w:rsidRPr="00437763">
              <w:t>Rozsah pojištění, doložky – odpovědnost (</w:t>
            </w:r>
            <w:proofErr w:type="spellStart"/>
            <w:r w:rsidRPr="00437763">
              <w:t>Liability</w:t>
            </w:r>
            <w:proofErr w:type="spellEnd"/>
            <w:r w:rsidRPr="00437763">
              <w:t>)</w:t>
            </w:r>
          </w:p>
        </w:tc>
      </w:tr>
      <w:tr w:rsidR="006241F6" w:rsidRPr="0096470B" w14:paraId="38DF3B44" w14:textId="77777777" w:rsidTr="00726FB3">
        <w:tc>
          <w:tcPr>
            <w:cnfStyle w:val="000010000000" w:firstRow="0" w:lastRow="0" w:firstColumn="0" w:lastColumn="0" w:oddVBand="1" w:evenVBand="0" w:oddHBand="0" w:evenHBand="0" w:firstRowFirstColumn="0" w:firstRowLastColumn="0" w:lastRowFirstColumn="0" w:lastRowLastColumn="0"/>
            <w:tcW w:w="3137" w:type="pct"/>
          </w:tcPr>
          <w:p w14:paraId="776B4A1B" w14:textId="77777777" w:rsidR="006241F6" w:rsidRPr="00473F42" w:rsidRDefault="006241F6" w:rsidP="00726FB3">
            <w:pPr>
              <w:pStyle w:val="TableTextEV"/>
              <w:rPr>
                <w:rFonts w:ascii="Times New Roman" w:hAnsi="Times New Roman" w:cs="Times New Roman"/>
              </w:rPr>
            </w:pPr>
          </w:p>
        </w:tc>
        <w:tc>
          <w:tcPr>
            <w:tcW w:w="804" w:type="pct"/>
          </w:tcPr>
          <w:p w14:paraId="6A06E7A4"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Limit</w:t>
            </w:r>
          </w:p>
        </w:tc>
        <w:tc>
          <w:tcPr>
            <w:cnfStyle w:val="000010000000" w:firstRow="0" w:lastRow="0" w:firstColumn="0" w:lastColumn="0" w:oddVBand="1" w:evenVBand="0" w:oddHBand="0" w:evenHBand="0" w:firstRowFirstColumn="0" w:firstRowLastColumn="0" w:lastRowFirstColumn="0" w:lastRowLastColumn="0"/>
            <w:tcW w:w="1059" w:type="pct"/>
          </w:tcPr>
          <w:p w14:paraId="25F165E8"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Spoluúčast</w:t>
            </w:r>
          </w:p>
        </w:tc>
      </w:tr>
      <w:tr w:rsidR="006241F6" w:rsidRPr="0096470B" w14:paraId="56D0F230"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3"/>
          </w:tcPr>
          <w:p w14:paraId="66F16C34"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 xml:space="preserve">002 – </w:t>
            </w:r>
            <w:proofErr w:type="spellStart"/>
            <w:r w:rsidRPr="00473F42">
              <w:rPr>
                <w:rFonts w:ascii="Times New Roman" w:hAnsi="Times New Roman" w:cs="Times New Roman"/>
              </w:rPr>
              <w:t>Cross</w:t>
            </w:r>
            <w:proofErr w:type="spellEnd"/>
            <w:r w:rsidRPr="00473F42">
              <w:rPr>
                <w:rFonts w:ascii="Times New Roman" w:hAnsi="Times New Roman" w:cs="Times New Roman"/>
              </w:rPr>
              <w:t xml:space="preserve"> </w:t>
            </w:r>
            <w:proofErr w:type="spellStart"/>
            <w:r w:rsidRPr="00473F42">
              <w:rPr>
                <w:rFonts w:ascii="Times New Roman" w:hAnsi="Times New Roman" w:cs="Times New Roman"/>
              </w:rPr>
              <w:t>Liability</w:t>
            </w:r>
            <w:proofErr w:type="spellEnd"/>
            <w:r w:rsidRPr="00473F42">
              <w:rPr>
                <w:rFonts w:ascii="Times New Roman" w:hAnsi="Times New Roman" w:cs="Times New Roman"/>
              </w:rPr>
              <w:t xml:space="preserve"> (křížová odpovědnost)</w:t>
            </w:r>
          </w:p>
        </w:tc>
      </w:tr>
      <w:tr w:rsidR="006241F6" w:rsidRPr="0096470B" w14:paraId="108B0958" w14:textId="77777777" w:rsidTr="00726FB3">
        <w:trPr>
          <w:trHeight w:val="196"/>
        </w:trPr>
        <w:tc>
          <w:tcPr>
            <w:cnfStyle w:val="000010000000" w:firstRow="0" w:lastRow="0" w:firstColumn="0" w:lastColumn="0" w:oddVBand="1" w:evenVBand="0" w:oddHBand="0" w:evenHBand="0" w:firstRowFirstColumn="0" w:firstRowLastColumn="0" w:lastRowFirstColumn="0" w:lastRowLastColumn="0"/>
            <w:tcW w:w="3137" w:type="pct"/>
          </w:tcPr>
          <w:p w14:paraId="28E7F979" w14:textId="77777777" w:rsidR="006241F6" w:rsidRPr="001B54D4" w:rsidRDefault="006241F6" w:rsidP="00726FB3">
            <w:pPr>
              <w:pStyle w:val="TableTextEV"/>
              <w:rPr>
                <w:rFonts w:ascii="Times New Roman" w:hAnsi="Times New Roman" w:cs="Times New Roman"/>
              </w:rPr>
            </w:pPr>
            <w:r w:rsidRPr="001B54D4">
              <w:rPr>
                <w:rFonts w:ascii="Times New Roman" w:hAnsi="Times New Roman" w:cs="Times New Roman"/>
              </w:rPr>
              <w:t>Následné finanční škody</w:t>
            </w:r>
          </w:p>
        </w:tc>
        <w:tc>
          <w:tcPr>
            <w:tcW w:w="804" w:type="pct"/>
          </w:tcPr>
          <w:p w14:paraId="665A6F38"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20 000 000 Kč</w:t>
            </w:r>
          </w:p>
        </w:tc>
        <w:tc>
          <w:tcPr>
            <w:cnfStyle w:val="000010000000" w:firstRow="0" w:lastRow="0" w:firstColumn="0" w:lastColumn="0" w:oddVBand="1" w:evenVBand="0" w:oddHBand="0" w:evenHBand="0" w:firstRowFirstColumn="0" w:firstRowLastColumn="0" w:lastRowFirstColumn="0" w:lastRowLastColumn="0"/>
            <w:tcW w:w="1059" w:type="pct"/>
          </w:tcPr>
          <w:p w14:paraId="3669B67F"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10 % min. 50 000 Kč</w:t>
            </w:r>
          </w:p>
        </w:tc>
      </w:tr>
      <w:tr w:rsidR="006241F6" w:rsidRPr="0096470B" w14:paraId="379608ED"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37" w:type="pct"/>
          </w:tcPr>
          <w:p w14:paraId="40F23B54" w14:textId="77777777" w:rsidR="006241F6" w:rsidRPr="001B54D4" w:rsidRDefault="006241F6" w:rsidP="00726FB3">
            <w:pPr>
              <w:pStyle w:val="TableTextEV"/>
              <w:rPr>
                <w:rFonts w:ascii="Times New Roman" w:hAnsi="Times New Roman" w:cs="Times New Roman"/>
              </w:rPr>
            </w:pPr>
            <w:r w:rsidRPr="001B54D4">
              <w:rPr>
                <w:rFonts w:ascii="Times New Roman" w:hAnsi="Times New Roman" w:cs="Times New Roman"/>
              </w:rPr>
              <w:t>Finanční škody - regresy (</w:t>
            </w:r>
            <w:proofErr w:type="spellStart"/>
            <w:r w:rsidRPr="001B54D4">
              <w:rPr>
                <w:rFonts w:ascii="Times New Roman" w:hAnsi="Times New Roman" w:cs="Times New Roman"/>
              </w:rPr>
              <w:t>zdr</w:t>
            </w:r>
            <w:proofErr w:type="spellEnd"/>
            <w:r w:rsidRPr="001B54D4">
              <w:rPr>
                <w:rFonts w:ascii="Times New Roman" w:hAnsi="Times New Roman" w:cs="Times New Roman"/>
              </w:rPr>
              <w:t>. poj., ČSSZ)</w:t>
            </w:r>
          </w:p>
        </w:tc>
        <w:tc>
          <w:tcPr>
            <w:tcW w:w="804" w:type="pct"/>
          </w:tcPr>
          <w:p w14:paraId="27DACE7F"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1 000 000 Kč</w:t>
            </w:r>
          </w:p>
        </w:tc>
        <w:tc>
          <w:tcPr>
            <w:cnfStyle w:val="000010000000" w:firstRow="0" w:lastRow="0" w:firstColumn="0" w:lastColumn="0" w:oddVBand="1" w:evenVBand="0" w:oddHBand="0" w:evenHBand="0" w:firstRowFirstColumn="0" w:firstRowLastColumn="0" w:lastRowFirstColumn="0" w:lastRowLastColumn="0"/>
            <w:tcW w:w="1059" w:type="pct"/>
          </w:tcPr>
          <w:p w14:paraId="1030B4D5"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50 000 Kč</w:t>
            </w:r>
          </w:p>
        </w:tc>
      </w:tr>
      <w:tr w:rsidR="006241F6" w:rsidRPr="0096470B" w14:paraId="46B6E561" w14:textId="77777777" w:rsidTr="00726FB3">
        <w:trPr>
          <w:trHeight w:val="294"/>
        </w:trPr>
        <w:tc>
          <w:tcPr>
            <w:cnfStyle w:val="000010000000" w:firstRow="0" w:lastRow="0" w:firstColumn="0" w:lastColumn="0" w:oddVBand="1" w:evenVBand="0" w:oddHBand="0" w:evenHBand="0" w:firstRowFirstColumn="0" w:firstRowLastColumn="0" w:lastRowFirstColumn="0" w:lastRowLastColumn="0"/>
            <w:tcW w:w="3137" w:type="pct"/>
          </w:tcPr>
          <w:p w14:paraId="11E132C2" w14:textId="77777777" w:rsidR="006241F6" w:rsidRPr="001B54D4" w:rsidRDefault="006241F6" w:rsidP="00726FB3">
            <w:pPr>
              <w:pStyle w:val="TableTextEV"/>
              <w:rPr>
                <w:rFonts w:ascii="Times New Roman" w:hAnsi="Times New Roman" w:cs="Times New Roman"/>
              </w:rPr>
            </w:pPr>
            <w:r w:rsidRPr="001B54D4">
              <w:rPr>
                <w:rFonts w:ascii="Times New Roman" w:hAnsi="Times New Roman" w:cs="Times New Roman"/>
              </w:rPr>
              <w:t>Čisté finanční škody</w:t>
            </w:r>
          </w:p>
        </w:tc>
        <w:tc>
          <w:tcPr>
            <w:tcW w:w="804" w:type="pct"/>
          </w:tcPr>
          <w:p w14:paraId="0764FAF8"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20 000 000 Kč</w:t>
            </w:r>
          </w:p>
        </w:tc>
        <w:tc>
          <w:tcPr>
            <w:cnfStyle w:val="000010000000" w:firstRow="0" w:lastRow="0" w:firstColumn="0" w:lastColumn="0" w:oddVBand="1" w:evenVBand="0" w:oddHBand="0" w:evenHBand="0" w:firstRowFirstColumn="0" w:firstRowLastColumn="0" w:lastRowFirstColumn="0" w:lastRowLastColumn="0"/>
            <w:tcW w:w="1059" w:type="pct"/>
          </w:tcPr>
          <w:p w14:paraId="47FCC24D"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10 % min. 50 000 Kč</w:t>
            </w:r>
          </w:p>
        </w:tc>
      </w:tr>
      <w:tr w:rsidR="006241F6" w:rsidRPr="0096470B" w14:paraId="2E58CD99" w14:textId="77777777" w:rsidTr="00726FB3">
        <w:trPr>
          <w:cnfStyle w:val="000000100000" w:firstRow="0" w:lastRow="0" w:firstColumn="0" w:lastColumn="0" w:oddVBand="0" w:evenVBand="0" w:oddHBand="1" w:evenHBand="0" w:firstRowFirstColumn="0" w:firstRowLastColumn="0" w:lastRowFirstColumn="0" w:lastRowLastColumn="0"/>
          <w:trHeight w:val="294"/>
        </w:trPr>
        <w:tc>
          <w:tcPr>
            <w:cnfStyle w:val="000010000000" w:firstRow="0" w:lastRow="0" w:firstColumn="0" w:lastColumn="0" w:oddVBand="1" w:evenVBand="0" w:oddHBand="0" w:evenHBand="0" w:firstRowFirstColumn="0" w:firstRowLastColumn="0" w:lastRowFirstColumn="0" w:lastRowLastColumn="0"/>
            <w:tcW w:w="3137" w:type="pct"/>
          </w:tcPr>
          <w:p w14:paraId="718A992B" w14:textId="77777777" w:rsidR="006241F6" w:rsidRPr="001B54D4" w:rsidRDefault="006241F6" w:rsidP="00726FB3">
            <w:pPr>
              <w:pStyle w:val="TableTextEV"/>
              <w:rPr>
                <w:rFonts w:ascii="Times New Roman" w:hAnsi="Times New Roman" w:cs="Times New Roman"/>
              </w:rPr>
            </w:pPr>
            <w:r w:rsidRPr="001B54D4">
              <w:rPr>
                <w:rFonts w:ascii="Times New Roman" w:hAnsi="Times New Roman" w:cs="Times New Roman"/>
              </w:rPr>
              <w:t>Škody na životním prostředí</w:t>
            </w:r>
          </w:p>
        </w:tc>
        <w:tc>
          <w:tcPr>
            <w:tcW w:w="804" w:type="pct"/>
          </w:tcPr>
          <w:p w14:paraId="6D230C24"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20 000 000 Kč</w:t>
            </w:r>
          </w:p>
        </w:tc>
        <w:tc>
          <w:tcPr>
            <w:cnfStyle w:val="000010000000" w:firstRow="0" w:lastRow="0" w:firstColumn="0" w:lastColumn="0" w:oddVBand="1" w:evenVBand="0" w:oddHBand="0" w:evenHBand="0" w:firstRowFirstColumn="0" w:firstRowLastColumn="0" w:lastRowFirstColumn="0" w:lastRowLastColumn="0"/>
            <w:tcW w:w="1059" w:type="pct"/>
          </w:tcPr>
          <w:p w14:paraId="7495B54A"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50 000 Kč</w:t>
            </w:r>
          </w:p>
        </w:tc>
      </w:tr>
      <w:tr w:rsidR="006241F6" w:rsidRPr="0096470B" w14:paraId="69673188" w14:textId="77777777" w:rsidTr="00726FB3">
        <w:tc>
          <w:tcPr>
            <w:cnfStyle w:val="000010000000" w:firstRow="0" w:lastRow="0" w:firstColumn="0" w:lastColumn="0" w:oddVBand="1" w:evenVBand="0" w:oddHBand="0" w:evenHBand="0" w:firstRowFirstColumn="0" w:firstRowLastColumn="0" w:lastRowFirstColumn="0" w:lastRowLastColumn="0"/>
            <w:tcW w:w="3941" w:type="pct"/>
            <w:gridSpan w:val="2"/>
          </w:tcPr>
          <w:p w14:paraId="1FD427D9"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Spoluúčast pro položky výše neuvedené</w:t>
            </w:r>
          </w:p>
        </w:tc>
        <w:tc>
          <w:tcPr>
            <w:tcW w:w="1059" w:type="pct"/>
          </w:tcPr>
          <w:p w14:paraId="29096B54"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50 000 Kč</w:t>
            </w:r>
          </w:p>
        </w:tc>
      </w:tr>
    </w:tbl>
    <w:p w14:paraId="36E41B34" w14:textId="77777777" w:rsidR="006241F6" w:rsidRPr="00473F42" w:rsidRDefault="006241F6" w:rsidP="006241F6">
      <w:pPr>
        <w:rPr>
          <w:rFonts w:ascii="Times New Roman" w:hAnsi="Times New Roman" w:cs="Times New Roman"/>
        </w:rPr>
      </w:pPr>
    </w:p>
    <w:p w14:paraId="67F469D6" w14:textId="77777777" w:rsidR="006241F6" w:rsidRPr="00EB47CA" w:rsidRDefault="006241F6" w:rsidP="00521162">
      <w:pPr>
        <w:pStyle w:val="Nadpis2"/>
        <w:rPr>
          <w:color w:val="808080" w:themeColor="background1" w:themeShade="80"/>
        </w:rPr>
      </w:pPr>
      <w:r w:rsidRPr="00EB47CA">
        <w:rPr>
          <w:color w:val="808080" w:themeColor="background1" w:themeShade="80"/>
        </w:rPr>
        <w:t>Rozsah pojištění, částky, limity – odpovědnost autorizovaného inženýra a technika za újmu (profesní odpovědnost)</w:t>
      </w:r>
    </w:p>
    <w:tbl>
      <w:tblPr>
        <w:tblStyle w:val="Tabulkasmkou4zvraznn5"/>
        <w:tblW w:w="5000" w:type="pct"/>
        <w:tblLook w:val="0000" w:firstRow="0" w:lastRow="0" w:firstColumn="0" w:lastColumn="0" w:noHBand="0" w:noVBand="0"/>
      </w:tblPr>
      <w:tblGrid>
        <w:gridCol w:w="5682"/>
        <w:gridCol w:w="1456"/>
        <w:gridCol w:w="1918"/>
      </w:tblGrid>
      <w:tr w:rsidR="006241F6" w:rsidRPr="0096470B" w14:paraId="116AE022"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3"/>
          </w:tcPr>
          <w:p w14:paraId="268D2FAE"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Je požadováno pojištění odpovědnosti vůči třetím osobám (mimo pojištěné subjekty)</w:t>
            </w:r>
          </w:p>
        </w:tc>
      </w:tr>
      <w:tr w:rsidR="006241F6" w:rsidRPr="0096470B" w14:paraId="6F07ED79" w14:textId="77777777" w:rsidTr="00726FB3">
        <w:tc>
          <w:tcPr>
            <w:cnfStyle w:val="000010000000" w:firstRow="0" w:lastRow="0" w:firstColumn="0" w:lastColumn="0" w:oddVBand="1" w:evenVBand="0" w:oddHBand="0" w:evenHBand="0" w:firstRowFirstColumn="0" w:firstRowLastColumn="0" w:lastRowFirstColumn="0" w:lastRowLastColumn="0"/>
            <w:tcW w:w="3941" w:type="pct"/>
            <w:gridSpan w:val="2"/>
          </w:tcPr>
          <w:p w14:paraId="4C253B7D"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Pojistná částka (limit plnění) pro jednu škodní událost:</w:t>
            </w:r>
          </w:p>
        </w:tc>
        <w:tc>
          <w:tcPr>
            <w:tcW w:w="1059" w:type="pct"/>
          </w:tcPr>
          <w:p w14:paraId="4B67FAA8"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200 000 000 Kč</w:t>
            </w:r>
          </w:p>
        </w:tc>
      </w:tr>
      <w:tr w:rsidR="006241F6" w:rsidRPr="0096470B" w14:paraId="6D1F36F8" w14:textId="77777777" w:rsidTr="00726FB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3"/>
          </w:tcPr>
          <w:p w14:paraId="1E2E311F" w14:textId="77777777" w:rsidR="006241F6" w:rsidRPr="00437763" w:rsidRDefault="006241F6" w:rsidP="00521162">
            <w:pPr>
              <w:pStyle w:val="Nadpis3"/>
              <w:outlineLvl w:val="2"/>
            </w:pPr>
            <w:r w:rsidRPr="00437763">
              <w:lastRenderedPageBreak/>
              <w:t>Rozsah pojištění, doložky – odpovědnost (</w:t>
            </w:r>
            <w:proofErr w:type="spellStart"/>
            <w:r w:rsidRPr="00437763">
              <w:t>Liability</w:t>
            </w:r>
            <w:proofErr w:type="spellEnd"/>
            <w:r w:rsidRPr="00437763">
              <w:t>)</w:t>
            </w:r>
          </w:p>
        </w:tc>
      </w:tr>
      <w:tr w:rsidR="006241F6" w:rsidRPr="0096470B" w14:paraId="0192A806" w14:textId="77777777" w:rsidTr="00726FB3">
        <w:tc>
          <w:tcPr>
            <w:cnfStyle w:val="000010000000" w:firstRow="0" w:lastRow="0" w:firstColumn="0" w:lastColumn="0" w:oddVBand="1" w:evenVBand="0" w:oddHBand="0" w:evenHBand="0" w:firstRowFirstColumn="0" w:firstRowLastColumn="0" w:lastRowFirstColumn="0" w:lastRowLastColumn="0"/>
            <w:tcW w:w="3137" w:type="pct"/>
          </w:tcPr>
          <w:p w14:paraId="618CB796" w14:textId="77777777" w:rsidR="006241F6" w:rsidRPr="00473F42" w:rsidRDefault="006241F6" w:rsidP="00726FB3">
            <w:pPr>
              <w:pStyle w:val="TableTextEV"/>
              <w:rPr>
                <w:rFonts w:ascii="Times New Roman" w:hAnsi="Times New Roman" w:cs="Times New Roman"/>
              </w:rPr>
            </w:pPr>
          </w:p>
        </w:tc>
        <w:tc>
          <w:tcPr>
            <w:tcW w:w="804" w:type="pct"/>
          </w:tcPr>
          <w:p w14:paraId="6E6BDA1E" w14:textId="77777777" w:rsidR="006241F6" w:rsidRPr="00473F42" w:rsidRDefault="006241F6" w:rsidP="00726FB3">
            <w:pPr>
              <w:pStyle w:val="TableTextEV"/>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Limit</w:t>
            </w:r>
          </w:p>
        </w:tc>
        <w:tc>
          <w:tcPr>
            <w:cnfStyle w:val="000010000000" w:firstRow="0" w:lastRow="0" w:firstColumn="0" w:lastColumn="0" w:oddVBand="1" w:evenVBand="0" w:oddHBand="0" w:evenHBand="0" w:firstRowFirstColumn="0" w:firstRowLastColumn="0" w:lastRowFirstColumn="0" w:lastRowLastColumn="0"/>
            <w:tcW w:w="1059" w:type="pct"/>
          </w:tcPr>
          <w:p w14:paraId="3A9BAEEE"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Spoluúčast</w:t>
            </w:r>
          </w:p>
        </w:tc>
      </w:tr>
      <w:tr w:rsidR="006241F6" w:rsidRPr="0096470B" w14:paraId="4AA3A87B" w14:textId="77777777" w:rsidTr="00726FB3">
        <w:trPr>
          <w:cnfStyle w:val="000000100000" w:firstRow="0" w:lastRow="0" w:firstColumn="0" w:lastColumn="0" w:oddVBand="0" w:evenVBand="0" w:oddHBand="1" w:evenHBand="0" w:firstRowFirstColumn="0" w:firstRowLastColumn="0" w:lastRowFirstColumn="0" w:lastRowLastColumn="0"/>
          <w:trHeight w:val="196"/>
        </w:trPr>
        <w:tc>
          <w:tcPr>
            <w:cnfStyle w:val="000010000000" w:firstRow="0" w:lastRow="0" w:firstColumn="0" w:lastColumn="0" w:oddVBand="1" w:evenVBand="0" w:oddHBand="0" w:evenHBand="0" w:firstRowFirstColumn="0" w:firstRowLastColumn="0" w:lastRowFirstColumn="0" w:lastRowLastColumn="0"/>
            <w:tcW w:w="3137" w:type="pct"/>
          </w:tcPr>
          <w:p w14:paraId="72448D32" w14:textId="77777777" w:rsidR="006241F6" w:rsidRPr="00473F42" w:rsidRDefault="006241F6" w:rsidP="00726FB3">
            <w:pPr>
              <w:pStyle w:val="TableTextEV"/>
              <w:rPr>
                <w:rFonts w:ascii="Times New Roman" w:hAnsi="Times New Roman" w:cs="Times New Roman"/>
              </w:rPr>
            </w:pPr>
            <w:r w:rsidRPr="00473F42">
              <w:rPr>
                <w:rFonts w:ascii="Times New Roman" w:hAnsi="Times New Roman" w:cs="Times New Roman"/>
              </w:rPr>
              <w:t>Škody na životním prostředí</w:t>
            </w:r>
          </w:p>
        </w:tc>
        <w:tc>
          <w:tcPr>
            <w:tcW w:w="804" w:type="pct"/>
          </w:tcPr>
          <w:p w14:paraId="4AE9BF03" w14:textId="77777777" w:rsidR="006241F6" w:rsidRPr="00473F42" w:rsidRDefault="006241F6" w:rsidP="00726FB3">
            <w:pPr>
              <w:pStyle w:val="TableTextEV"/>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20 000 000 Kč</w:t>
            </w:r>
          </w:p>
        </w:tc>
        <w:tc>
          <w:tcPr>
            <w:cnfStyle w:val="000010000000" w:firstRow="0" w:lastRow="0" w:firstColumn="0" w:lastColumn="0" w:oddVBand="1" w:evenVBand="0" w:oddHBand="0" w:evenHBand="0" w:firstRowFirstColumn="0" w:firstRowLastColumn="0" w:lastRowFirstColumn="0" w:lastRowLastColumn="0"/>
            <w:tcW w:w="1059" w:type="pct"/>
          </w:tcPr>
          <w:p w14:paraId="0451A13F" w14:textId="77777777" w:rsidR="006241F6" w:rsidRPr="00473F42" w:rsidRDefault="006241F6" w:rsidP="00726FB3">
            <w:pPr>
              <w:pStyle w:val="TableTextEV"/>
              <w:jc w:val="right"/>
              <w:rPr>
                <w:rFonts w:ascii="Times New Roman" w:hAnsi="Times New Roman" w:cs="Times New Roman"/>
              </w:rPr>
            </w:pPr>
            <w:r w:rsidRPr="00473F42">
              <w:rPr>
                <w:rFonts w:ascii="Times New Roman" w:hAnsi="Times New Roman" w:cs="Times New Roman"/>
              </w:rPr>
              <w:t>50 000 Kč</w:t>
            </w:r>
          </w:p>
        </w:tc>
      </w:tr>
      <w:tr w:rsidR="006241F6" w:rsidRPr="0096470B" w14:paraId="3668CDAE" w14:textId="77777777" w:rsidTr="00726FB3">
        <w:tc>
          <w:tcPr>
            <w:cnfStyle w:val="000010000000" w:firstRow="0" w:lastRow="0" w:firstColumn="0" w:lastColumn="0" w:oddVBand="1" w:evenVBand="0" w:oddHBand="0" w:evenHBand="0" w:firstRowFirstColumn="0" w:firstRowLastColumn="0" w:lastRowFirstColumn="0" w:lastRowLastColumn="0"/>
            <w:tcW w:w="3941" w:type="pct"/>
            <w:gridSpan w:val="2"/>
          </w:tcPr>
          <w:p w14:paraId="0383522D" w14:textId="77777777" w:rsidR="006241F6" w:rsidRPr="00473F42" w:rsidRDefault="006241F6" w:rsidP="00726FB3">
            <w:pPr>
              <w:pStyle w:val="TableTextEV"/>
              <w:rPr>
                <w:rFonts w:ascii="Times New Roman" w:hAnsi="Times New Roman" w:cs="Times New Roman"/>
                <w:b/>
              </w:rPr>
            </w:pPr>
            <w:r w:rsidRPr="00473F42">
              <w:rPr>
                <w:rFonts w:ascii="Times New Roman" w:hAnsi="Times New Roman" w:cs="Times New Roman"/>
              </w:rPr>
              <w:t>Spoluúčast</w:t>
            </w:r>
          </w:p>
        </w:tc>
        <w:tc>
          <w:tcPr>
            <w:tcW w:w="1059" w:type="pct"/>
          </w:tcPr>
          <w:p w14:paraId="5FF43381" w14:textId="77777777" w:rsidR="006241F6" w:rsidRPr="00473F42" w:rsidRDefault="006241F6" w:rsidP="00726FB3">
            <w:pPr>
              <w:pStyle w:val="TableTextEV"/>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73F42">
              <w:rPr>
                <w:rFonts w:ascii="Times New Roman" w:hAnsi="Times New Roman" w:cs="Times New Roman"/>
              </w:rPr>
              <w:t>50 000 Kč</w:t>
            </w:r>
          </w:p>
        </w:tc>
      </w:tr>
    </w:tbl>
    <w:p w14:paraId="49817837" w14:textId="77777777" w:rsidR="006241F6" w:rsidRPr="00EB47CA" w:rsidRDefault="006241F6" w:rsidP="006241F6">
      <w:pPr>
        <w:spacing w:line="240" w:lineRule="auto"/>
        <w:rPr>
          <w:rFonts w:ascii="Times New Roman" w:hAnsi="Times New Roman" w:cs="Times New Roman"/>
          <w:b/>
          <w:color w:val="808080" w:themeColor="background1" w:themeShade="80"/>
          <w:sz w:val="36"/>
        </w:rPr>
      </w:pPr>
    </w:p>
    <w:p w14:paraId="06EDA914" w14:textId="77777777" w:rsidR="006241F6" w:rsidRPr="00EB47CA" w:rsidRDefault="006241F6" w:rsidP="00521162">
      <w:pPr>
        <w:pStyle w:val="Nadpis2"/>
        <w:rPr>
          <w:color w:val="808080" w:themeColor="background1" w:themeShade="80"/>
        </w:rPr>
      </w:pPr>
      <w:r w:rsidRPr="00EB47CA">
        <w:rPr>
          <w:color w:val="808080" w:themeColor="background1" w:themeShade="80"/>
        </w:rPr>
        <w:t>Ostatní skutečnosti, požadavky na pojištění</w:t>
      </w:r>
    </w:p>
    <w:p w14:paraId="667C2899" w14:textId="77777777" w:rsidR="006241F6" w:rsidRPr="00437763" w:rsidRDefault="006241F6" w:rsidP="00521162">
      <w:pPr>
        <w:pStyle w:val="Nadpis3"/>
      </w:pPr>
      <w:bookmarkStart w:id="0" w:name="D119"/>
      <w:r w:rsidRPr="00437763">
        <w:t>Název budovaného Díla</w:t>
      </w:r>
    </w:p>
    <w:p w14:paraId="442E6899" w14:textId="77777777" w:rsidR="006241F6" w:rsidRPr="00473F42" w:rsidRDefault="006241F6" w:rsidP="006241F6">
      <w:pPr>
        <w:autoSpaceDE w:val="0"/>
        <w:autoSpaceDN w:val="0"/>
        <w:rPr>
          <w:rFonts w:ascii="Times New Roman" w:hAnsi="Times New Roman" w:cs="Times New Roman"/>
          <w:spacing w:val="-2"/>
        </w:rPr>
      </w:pPr>
      <w:r w:rsidRPr="00473F42">
        <w:rPr>
          <w:rFonts w:ascii="Times New Roman" w:hAnsi="Times New Roman" w:cs="Times New Roman"/>
          <w:spacing w:val="-2"/>
        </w:rPr>
        <w:t xml:space="preserve">Kalové hospodářství ČOV Brno - Modřice </w:t>
      </w:r>
    </w:p>
    <w:p w14:paraId="436F8874" w14:textId="77777777" w:rsidR="006241F6" w:rsidRPr="00437763" w:rsidRDefault="006241F6" w:rsidP="00521162">
      <w:pPr>
        <w:pStyle w:val="Nadpis3"/>
      </w:pPr>
      <w:r w:rsidRPr="00437763">
        <w:t>Místo budování Díla:</w:t>
      </w:r>
    </w:p>
    <w:p w14:paraId="28D29FEF" w14:textId="77777777" w:rsidR="006241F6" w:rsidRPr="00473F42" w:rsidRDefault="006241F6" w:rsidP="006241F6">
      <w:pPr>
        <w:autoSpaceDE w:val="0"/>
        <w:autoSpaceDN w:val="0"/>
        <w:rPr>
          <w:rFonts w:ascii="Times New Roman" w:hAnsi="Times New Roman" w:cs="Times New Roman"/>
          <w:spacing w:val="-2"/>
        </w:rPr>
      </w:pPr>
      <w:r w:rsidRPr="00473F42">
        <w:rPr>
          <w:rFonts w:ascii="Times New Roman" w:hAnsi="Times New Roman" w:cs="Times New Roman"/>
          <w:spacing w:val="-2"/>
        </w:rPr>
        <w:t>Areál ČOV Brno - Modřice</w:t>
      </w:r>
    </w:p>
    <w:p w14:paraId="334E6CD7" w14:textId="77777777" w:rsidR="006241F6" w:rsidRPr="00437763" w:rsidRDefault="006241F6" w:rsidP="00521162">
      <w:pPr>
        <w:pStyle w:val="Nadpis3"/>
      </w:pPr>
      <w:r w:rsidRPr="00437763">
        <w:t>Další subjekty, podílející se na budování Díla</w:t>
      </w:r>
    </w:p>
    <w:p w14:paraId="62B245DA" w14:textId="760F5D90" w:rsidR="006241F6" w:rsidRPr="00473F42" w:rsidRDefault="006241F6" w:rsidP="006241F6">
      <w:pPr>
        <w:autoSpaceDE w:val="0"/>
        <w:autoSpaceDN w:val="0"/>
        <w:rPr>
          <w:rFonts w:ascii="Times New Roman" w:hAnsi="Times New Roman" w:cs="Times New Roman"/>
          <w:spacing w:val="-2"/>
        </w:rPr>
      </w:pPr>
      <w:r w:rsidRPr="00473F42">
        <w:rPr>
          <w:rFonts w:ascii="Times New Roman" w:hAnsi="Times New Roman" w:cs="Times New Roman"/>
          <w:spacing w:val="-2"/>
        </w:rPr>
        <w:t>Všichni smluvní dodavatelé a subdodavatelé</w:t>
      </w:r>
      <w:bookmarkEnd w:id="0"/>
    </w:p>
    <w:p w14:paraId="6C2E9C8D" w14:textId="34D37601" w:rsidR="006241F6" w:rsidRPr="00EB47CA" w:rsidRDefault="006241F6" w:rsidP="006241F6">
      <w:pPr>
        <w:spacing w:line="240" w:lineRule="auto"/>
        <w:rPr>
          <w:rFonts w:ascii="Times New Roman" w:hAnsi="Times New Roman" w:cs="Times New Roman"/>
          <w:b/>
          <w:color w:val="808080" w:themeColor="background1" w:themeShade="80"/>
          <w:sz w:val="36"/>
        </w:rPr>
      </w:pPr>
    </w:p>
    <w:p w14:paraId="5338BDB0" w14:textId="77777777" w:rsidR="006241F6" w:rsidRPr="00EB47CA" w:rsidRDefault="006241F6" w:rsidP="001918A7">
      <w:pPr>
        <w:pStyle w:val="Nadpis1"/>
        <w:rPr>
          <w:color w:val="808080" w:themeColor="background1" w:themeShade="80"/>
        </w:rPr>
      </w:pPr>
      <w:r w:rsidRPr="00EB47CA">
        <w:rPr>
          <w:color w:val="808080" w:themeColor="background1" w:themeShade="80"/>
        </w:rPr>
        <w:t>Rozšiřující doložky</w:t>
      </w:r>
    </w:p>
    <w:p w14:paraId="42D1FB81" w14:textId="77777777" w:rsidR="006241F6" w:rsidRPr="00473F42" w:rsidRDefault="006241F6" w:rsidP="00551733">
      <w:pPr>
        <w:pStyle w:val="TableTextEV"/>
      </w:pPr>
      <w:r w:rsidRPr="00473F42">
        <w:t>Tyto doložky budou součástí pojistné smlouvy; přípustná je pouze taková úprava textace, která nebude mít vliv na faktický rozsah pojistného krytí.</w:t>
      </w:r>
    </w:p>
    <w:p w14:paraId="0CAA534A" w14:textId="77777777" w:rsidR="006241F6" w:rsidRPr="00437763" w:rsidRDefault="006241F6" w:rsidP="00521162">
      <w:pPr>
        <w:pStyle w:val="Nadpis3"/>
      </w:pPr>
      <w:r w:rsidRPr="00437763">
        <w:t xml:space="preserve">002 Křížová odpovědnost </w:t>
      </w:r>
    </w:p>
    <w:p w14:paraId="7D4A0609" w14:textId="77777777" w:rsidR="006241F6" w:rsidRPr="00551733" w:rsidRDefault="006241F6" w:rsidP="00551733">
      <w:pPr>
        <w:pStyle w:val="TableTextEV"/>
      </w:pPr>
      <w:r w:rsidRPr="00551733">
        <w:t xml:space="preserve">Při zachování ustanovení, podmínek a ujednání pojistné smlouvy a pod podmínkou, že pojistník zaplatil dohodnuté zvláštní pojistné, se pojištění odpovědnosti za škodu podle této pojistné smlouvy vztahuje na osoby uvedené jako pojištěné v této pojistné smlouvě, jako kdyby byla pro každou z nich vyhotovena samostatná pojistná smlouva s tím, že pojistitel podle tohoto připojištění neposkytne pojistné plnění v případě odpovědnosti za </w:t>
      </w:r>
    </w:p>
    <w:p w14:paraId="1BD68467" w14:textId="77777777" w:rsidR="006241F6" w:rsidRPr="00473F42" w:rsidRDefault="006241F6" w:rsidP="0093713C">
      <w:pPr>
        <w:pStyle w:val="Seznamsodrkami"/>
        <w:numPr>
          <w:ilvl w:val="0"/>
          <w:numId w:val="52"/>
        </w:numPr>
      </w:pPr>
      <w:r w:rsidRPr="00473F42">
        <w:t>škodu na položkách pojištěných</w:t>
      </w:r>
    </w:p>
    <w:p w14:paraId="0FA22416" w14:textId="77777777" w:rsidR="006241F6" w:rsidRDefault="006241F6" w:rsidP="0093713C">
      <w:pPr>
        <w:pStyle w:val="Seznamsodrkami"/>
        <w:numPr>
          <w:ilvl w:val="0"/>
          <w:numId w:val="52"/>
        </w:numPr>
      </w:pPr>
      <w:r w:rsidRPr="00473F42">
        <w:t xml:space="preserve">škodu při pracovních úrazech nebo </w:t>
      </w:r>
      <w:r w:rsidRPr="001918A7">
        <w:t>nemocech</w:t>
      </w:r>
      <w:r w:rsidRPr="00473F42">
        <w:t xml:space="preserve"> z povolání.</w:t>
      </w:r>
    </w:p>
    <w:p w14:paraId="13AF3EEB" w14:textId="77777777" w:rsidR="00101442" w:rsidRPr="00EB47CA" w:rsidRDefault="00101442" w:rsidP="00101442">
      <w:pPr>
        <w:pStyle w:val="Seznamsodrkami"/>
        <w:numPr>
          <w:ilvl w:val="0"/>
          <w:numId w:val="0"/>
        </w:numPr>
        <w:ind w:left="717"/>
        <w:rPr>
          <w:color w:val="808080" w:themeColor="background1" w:themeShade="80"/>
        </w:rPr>
      </w:pPr>
    </w:p>
    <w:p w14:paraId="5A4F0A1A" w14:textId="77777777" w:rsidR="006241F6" w:rsidRPr="00101442" w:rsidRDefault="006241F6" w:rsidP="00101442">
      <w:pPr>
        <w:pStyle w:val="TableTextEV"/>
      </w:pPr>
      <w:r w:rsidRPr="00101442">
        <w:t xml:space="preserve">Celkové pojistné plnění pojistitele však nepřesáhne limit pojistného plnění sjednaný v pojistné smlouvě. </w:t>
      </w:r>
    </w:p>
    <w:p w14:paraId="2543646F" w14:textId="77777777" w:rsidR="006241F6" w:rsidRPr="00101442" w:rsidRDefault="006241F6" w:rsidP="00101442">
      <w:pPr>
        <w:pStyle w:val="TableTextEV"/>
      </w:pPr>
      <w:r w:rsidRPr="00101442">
        <w:t>Zvláštní pojistné: zahrnuto v základním</w:t>
      </w:r>
    </w:p>
    <w:p w14:paraId="2570B9C3" w14:textId="77777777" w:rsidR="006241F6" w:rsidRPr="00437763" w:rsidRDefault="006241F6" w:rsidP="00521162">
      <w:pPr>
        <w:pStyle w:val="Nadpis3"/>
      </w:pPr>
      <w:r w:rsidRPr="00437763">
        <w:t xml:space="preserve">004 Rozšířené krytí záruční doby </w:t>
      </w:r>
    </w:p>
    <w:p w14:paraId="70933398" w14:textId="77777777" w:rsidR="006241F6" w:rsidRPr="00106B2C" w:rsidRDefault="006241F6" w:rsidP="00106B2C">
      <w:pPr>
        <w:pStyle w:val="TableTextEV"/>
      </w:pPr>
      <w:r w:rsidRPr="00106B2C">
        <w:t xml:space="preserve">Při zachování ustanovení, podmínek a ujednání pojistné smlouvy a pod podmínkou, že pojistník zaplatil dohodnuté zvláštní pojistné, se pojištění vztahuje na záruční dobu uvedenou níže tak, že pojistitel kryje škodu vzniklou na budovaném díle, </w:t>
      </w:r>
    </w:p>
    <w:p w14:paraId="5A2F528A" w14:textId="77777777" w:rsidR="006241F6" w:rsidRPr="00EB47CA" w:rsidRDefault="006241F6" w:rsidP="0093713C">
      <w:pPr>
        <w:pStyle w:val="Seznamsodrkami"/>
        <w:numPr>
          <w:ilvl w:val="0"/>
          <w:numId w:val="52"/>
        </w:numPr>
      </w:pPr>
      <w:r w:rsidRPr="00EB47CA">
        <w:t xml:space="preserve">kterou způsobil pojištěný v průběhu operací prováděných za účelem splnění závazků podle ustanovení smlouvy o dílo a odstranění závad v záruční době, </w:t>
      </w:r>
    </w:p>
    <w:p w14:paraId="647E6FF1" w14:textId="77777777" w:rsidR="006241F6" w:rsidRPr="00EB47CA" w:rsidRDefault="006241F6" w:rsidP="0093713C">
      <w:pPr>
        <w:pStyle w:val="Seznamsodrkami"/>
        <w:numPr>
          <w:ilvl w:val="0"/>
          <w:numId w:val="52"/>
        </w:numPr>
      </w:pPr>
      <w:r w:rsidRPr="00EB47CA">
        <w:t>která vznikne během záruční doby, pod podmínkou, že tato škoda byla způsobena v místě pojištění a v době trvání pojištění</w:t>
      </w:r>
    </w:p>
    <w:p w14:paraId="5C03BC72" w14:textId="77777777" w:rsidR="00106B2C" w:rsidRPr="00473F42" w:rsidRDefault="00106B2C" w:rsidP="00106B2C">
      <w:pPr>
        <w:pStyle w:val="TableTextEV"/>
      </w:pPr>
    </w:p>
    <w:p w14:paraId="61995B66" w14:textId="77777777" w:rsidR="006241F6" w:rsidRPr="00106B2C" w:rsidRDefault="006241F6" w:rsidP="00106B2C">
      <w:pPr>
        <w:pStyle w:val="TableTextEV"/>
      </w:pPr>
      <w:r w:rsidRPr="00106B2C">
        <w:t>Záruční doba:24 měsíců</w:t>
      </w:r>
    </w:p>
    <w:p w14:paraId="535432A4" w14:textId="77777777" w:rsidR="006241F6" w:rsidRPr="00106B2C" w:rsidRDefault="006241F6" w:rsidP="00106B2C">
      <w:pPr>
        <w:pStyle w:val="TableTextEV"/>
      </w:pPr>
      <w:r w:rsidRPr="00106B2C">
        <w:t>Spoluúčast: 200 000,- Kč při každé pojistné události</w:t>
      </w:r>
    </w:p>
    <w:p w14:paraId="6027AE91" w14:textId="77777777" w:rsidR="006241F6" w:rsidRPr="00106B2C" w:rsidRDefault="006241F6" w:rsidP="00106B2C">
      <w:pPr>
        <w:pStyle w:val="TableTextEV"/>
      </w:pPr>
      <w:r w:rsidRPr="00106B2C">
        <w:lastRenderedPageBreak/>
        <w:t>Zvláštní pojistné: zahrnuto v celkovém pojistném</w:t>
      </w:r>
    </w:p>
    <w:p w14:paraId="6D60ED94" w14:textId="77777777" w:rsidR="006241F6" w:rsidRPr="00437763" w:rsidRDefault="006241F6" w:rsidP="00521162">
      <w:pPr>
        <w:pStyle w:val="Nadpis3"/>
      </w:pPr>
      <w:r w:rsidRPr="00437763">
        <w:t>006 Zvláštní výdaje za přesčasy, noční práci, práci o státních svátcích, spěšnou dopravu</w:t>
      </w:r>
    </w:p>
    <w:p w14:paraId="3A873F1A" w14:textId="77777777" w:rsidR="006241F6" w:rsidRPr="00106B2C" w:rsidRDefault="006241F6" w:rsidP="00106B2C">
      <w:pPr>
        <w:pStyle w:val="TableTextEV"/>
      </w:pPr>
      <w:r w:rsidRPr="00106B2C">
        <w:t>Při zachování ustanovení, podmínek a ujednání pojistné smlouvy a pod podmínkou, že pojistník zaplatil dohodnuté zvláštní pojistné, se pojištění poskytované touto pojistnou smlouvou rozšiřuje na vícenáklady za přesčasy, noční práci, práci o státních svátcích a spěšnou dopravu (s výjimkou letecké dopravy).</w:t>
      </w:r>
    </w:p>
    <w:p w14:paraId="718C977E" w14:textId="77777777" w:rsidR="006241F6" w:rsidRPr="00106B2C" w:rsidRDefault="006241F6" w:rsidP="00106B2C">
      <w:pPr>
        <w:pStyle w:val="TableTextEV"/>
      </w:pPr>
      <w:r w:rsidRPr="00106B2C">
        <w:t>Nárok na pojistné plnění vzniká za podmínky, že tyto vícenáklady vynaložil pojištěný v souvislosti s pojistnou událostí na pojištěném budovaném díle podle této pojistné smlouvy.</w:t>
      </w:r>
    </w:p>
    <w:p w14:paraId="399CAED1" w14:textId="77777777" w:rsidR="006241F6" w:rsidRPr="00106B2C" w:rsidRDefault="006241F6" w:rsidP="00106B2C">
      <w:pPr>
        <w:pStyle w:val="TableTextEV"/>
      </w:pPr>
      <w:r w:rsidRPr="00106B2C">
        <w:t>Maximální plnění: 20 % z pojistného plnění za škodu na budovaném díle, max. 5.000.000,- Kč při každé pojistné události</w:t>
      </w:r>
    </w:p>
    <w:p w14:paraId="4AEB4D16" w14:textId="77777777" w:rsidR="006241F6" w:rsidRPr="00106B2C" w:rsidRDefault="006241F6" w:rsidP="00106B2C">
      <w:pPr>
        <w:pStyle w:val="TableTextEV"/>
      </w:pPr>
      <w:r w:rsidRPr="00106B2C">
        <w:t>Spoluúčast: 20 % z pojistného plnění za vícenáklady, minimálně však 100 000,- Kč při každé pojistné události</w:t>
      </w:r>
    </w:p>
    <w:p w14:paraId="3FF91192" w14:textId="77777777" w:rsidR="006241F6" w:rsidRPr="00A96526" w:rsidRDefault="006241F6" w:rsidP="00A96526">
      <w:pPr>
        <w:pStyle w:val="TableTextEV"/>
      </w:pPr>
      <w:r w:rsidRPr="00106B2C">
        <w:t>Zvlášt</w:t>
      </w:r>
      <w:r w:rsidRPr="00A96526">
        <w:t>ní pojistné: zahrnuto v celkovém pojistném</w:t>
      </w:r>
    </w:p>
    <w:p w14:paraId="5123D9F1" w14:textId="77777777" w:rsidR="006241F6" w:rsidRPr="00437763" w:rsidRDefault="006241F6" w:rsidP="00521162">
      <w:pPr>
        <w:pStyle w:val="Nadpis3"/>
      </w:pPr>
      <w:r w:rsidRPr="00437763">
        <w:t>007 Zvláštní výdaje za leteckou dopravu</w:t>
      </w:r>
    </w:p>
    <w:p w14:paraId="676CCC76" w14:textId="77777777" w:rsidR="006241F6" w:rsidRPr="00106B2C" w:rsidRDefault="006241F6" w:rsidP="00A96526">
      <w:pPr>
        <w:pStyle w:val="TableTextEV"/>
      </w:pPr>
      <w:r w:rsidRPr="00106B2C">
        <w:t>Při zachování ustanovení, podmínek a ujednání pojistné smlouvy a pod podmínkou, že pojistník zaplatil dohodnuté zvláštní pojistné, se pojištění poskytované touto pojistnou smlouvou rozšiřuje na vícenáklady za leteckou dopravu.</w:t>
      </w:r>
    </w:p>
    <w:p w14:paraId="53ECC9DF" w14:textId="77777777" w:rsidR="006241F6" w:rsidRPr="00106B2C" w:rsidRDefault="006241F6" w:rsidP="00A96526">
      <w:pPr>
        <w:pStyle w:val="TableTextEV"/>
      </w:pPr>
      <w:r w:rsidRPr="00106B2C">
        <w:t>Nárok na pojistné plnění vzniká za podmínky, že tyto vícenáklady vynaložil pojištěný v souvislosti se škodnou událostí na pojištěném budovaném díle, za kterou je možno vyplatit plnění podle této pojistné smlouvy, a pod podmínkou, že maximální částka, kterou pojistitel vyplatí na základě tohoto připojištění letecké dopravy, nepřesáhne v průběhu doby trvání pojištění níže uvedený limit pojistného plnění.</w:t>
      </w:r>
    </w:p>
    <w:p w14:paraId="3E094548" w14:textId="77777777" w:rsidR="006241F6" w:rsidRPr="00106B2C" w:rsidRDefault="006241F6" w:rsidP="00A96526">
      <w:pPr>
        <w:pStyle w:val="TableTextEV"/>
      </w:pPr>
      <w:r w:rsidRPr="00106B2C">
        <w:t>Spoluúčast: 20 % z pojistného plnění za vícenáklady, minimálně však 100 000,- Kč při každé pojistné události</w:t>
      </w:r>
    </w:p>
    <w:p w14:paraId="04B3A9C3" w14:textId="77777777" w:rsidR="006241F6" w:rsidRPr="00106B2C" w:rsidRDefault="006241F6" w:rsidP="00A96526">
      <w:pPr>
        <w:pStyle w:val="TableTextEV"/>
      </w:pPr>
      <w:r w:rsidRPr="00106B2C">
        <w:t>Limit pojistného plnění dle této doložky: 5.000.000,- Kč</w:t>
      </w:r>
    </w:p>
    <w:p w14:paraId="7B843FB4" w14:textId="77777777" w:rsidR="006241F6" w:rsidRPr="00106B2C" w:rsidRDefault="006241F6" w:rsidP="00A96526">
      <w:pPr>
        <w:pStyle w:val="TableTextEV"/>
      </w:pPr>
      <w:r w:rsidRPr="00106B2C">
        <w:t>Zvláštní pojistné: zahrnuto v celkovém pojistném</w:t>
      </w:r>
    </w:p>
    <w:p w14:paraId="1B8CE07E" w14:textId="77777777" w:rsidR="006241F6" w:rsidRPr="00437763" w:rsidRDefault="006241F6" w:rsidP="00521162">
      <w:pPr>
        <w:pStyle w:val="Nadpis3"/>
      </w:pPr>
      <w:r w:rsidRPr="00437763">
        <w:t>100 Pojištění zkušebního provozu strojů a zařízení</w:t>
      </w:r>
    </w:p>
    <w:p w14:paraId="068CFE3F" w14:textId="77777777" w:rsidR="006241F6" w:rsidRPr="00A96526" w:rsidRDefault="006241F6" w:rsidP="00A96526">
      <w:pPr>
        <w:pStyle w:val="TableTextEV"/>
      </w:pPr>
      <w:r w:rsidRPr="00A96526">
        <w:t>Při zachování ustanovení, podmínek a ujednání pojistné smlouvy a pod podmínkou, že pojistník zaplatil dohodnuté zvláštní pojistné, se ujednává, že se pojistná doba vztahuje rovněž na období zkušebního provozu nebo zkušebního zatížení, avšak na dobu nejdéle 12 týdnů ode dne začátku zkoušek.</w:t>
      </w:r>
    </w:p>
    <w:p w14:paraId="6A025A67" w14:textId="77777777" w:rsidR="006241F6" w:rsidRPr="00A96526" w:rsidRDefault="006241F6" w:rsidP="00A96526">
      <w:pPr>
        <w:pStyle w:val="TableTextEV"/>
      </w:pPr>
      <w:r w:rsidRPr="00A96526">
        <w:t>Bude-li však část zařízení nebo jeden nebo několik strojů vyzkoušeno nebo uvedeno do provozu nebo převzato objednatelem, tak pojištění pro tyto části zařízení nebo stroje a jakékoli ručení z toho vyplývající zanikne; pojištění zbývajících částí nebo strojů však trvá i nadále.</w:t>
      </w:r>
    </w:p>
    <w:p w14:paraId="7752FF00" w14:textId="77777777" w:rsidR="006241F6" w:rsidRPr="00A96526" w:rsidRDefault="006241F6" w:rsidP="00A96526">
      <w:pPr>
        <w:pStyle w:val="TableTextEV"/>
      </w:pPr>
      <w:r w:rsidRPr="00A96526">
        <w:t>Dále se sjednává, že pro stroje a zařízení, které jsou ve zkušebním provozu, se ruší výluky uvedené VPP a nahrazují se následující výlukou:</w:t>
      </w:r>
    </w:p>
    <w:p w14:paraId="460D9E2F" w14:textId="77777777" w:rsidR="006241F6" w:rsidRDefault="006241F6" w:rsidP="0093713C">
      <w:pPr>
        <w:pStyle w:val="Seznamsodrkami"/>
        <w:numPr>
          <w:ilvl w:val="0"/>
          <w:numId w:val="52"/>
        </w:numPr>
      </w:pPr>
      <w:r w:rsidRPr="00473F42">
        <w:t xml:space="preserve">škodu </w:t>
      </w:r>
      <w:r w:rsidRPr="00A96526">
        <w:t>vzniklou</w:t>
      </w:r>
      <w:r w:rsidRPr="00473F42">
        <w:t xml:space="preserve"> v důsledku chyby projektové dokumentace, vadného materiálu nebo lití, nebo vadným provedením prací s výjimkou chyb při montáži.</w:t>
      </w:r>
    </w:p>
    <w:p w14:paraId="63BE8D9E" w14:textId="77777777" w:rsidR="00FC5156" w:rsidRPr="00473F42" w:rsidRDefault="00FC5156" w:rsidP="0097532D">
      <w:pPr>
        <w:pStyle w:val="Seznamsodrkami"/>
        <w:numPr>
          <w:ilvl w:val="0"/>
          <w:numId w:val="0"/>
        </w:numPr>
        <w:ind w:left="717"/>
      </w:pPr>
    </w:p>
    <w:p w14:paraId="137A3C3B" w14:textId="77777777" w:rsidR="006241F6" w:rsidRPr="00473F42" w:rsidRDefault="006241F6" w:rsidP="00FC5156">
      <w:pPr>
        <w:pStyle w:val="TableTextEV"/>
      </w:pPr>
      <w:r w:rsidRPr="00473F42">
        <w:t>Spoluúčast: 200 000,- Kč</w:t>
      </w:r>
    </w:p>
    <w:p w14:paraId="53655E07" w14:textId="77777777" w:rsidR="006241F6" w:rsidRPr="00473F42" w:rsidRDefault="006241F6" w:rsidP="00FC5156">
      <w:pPr>
        <w:pStyle w:val="TableTextEV"/>
      </w:pPr>
      <w:r w:rsidRPr="00473F42">
        <w:t>Zvláštní pojistné: zahrnuto v celkovém pojistném</w:t>
      </w:r>
    </w:p>
    <w:p w14:paraId="72D50E07" w14:textId="77777777" w:rsidR="006241F6" w:rsidRPr="00437763" w:rsidRDefault="006241F6" w:rsidP="009B2995">
      <w:pPr>
        <w:pStyle w:val="Nadpis3"/>
      </w:pPr>
      <w:r w:rsidRPr="00437763">
        <w:t>115 Pojištění rizika projektanta</w:t>
      </w:r>
    </w:p>
    <w:p w14:paraId="72881A6D" w14:textId="77777777" w:rsidR="006241F6" w:rsidRPr="00473F42" w:rsidRDefault="006241F6" w:rsidP="00FC5156">
      <w:pPr>
        <w:pStyle w:val="TableTextEV"/>
      </w:pPr>
      <w:r w:rsidRPr="00473F42">
        <w:t>Při zachování ustanovení, podmínek a ujednání pojistné smlouvy a pod podmínkou, že pojistník zaplatil dohodnuté zvláštní pojistné, se ruší a výluka dle VPP nahrazuje takto:</w:t>
      </w:r>
    </w:p>
    <w:p w14:paraId="6A6AB969" w14:textId="77777777" w:rsidR="006241F6" w:rsidRPr="00473F42" w:rsidRDefault="006241F6" w:rsidP="00FC5156">
      <w:pPr>
        <w:pStyle w:val="TableTextEV"/>
      </w:pPr>
      <w:r w:rsidRPr="00473F42">
        <w:t>náklady na opravu, výměnu a/nebo nápravu škody na položkách a/nebo částech budovaného díla způsobené:</w:t>
      </w:r>
    </w:p>
    <w:p w14:paraId="1B57EE0D" w14:textId="77777777" w:rsidR="006241F6" w:rsidRPr="00FC5156" w:rsidRDefault="006241F6" w:rsidP="0093713C">
      <w:pPr>
        <w:pStyle w:val="Seznamsodrkami"/>
        <w:numPr>
          <w:ilvl w:val="0"/>
          <w:numId w:val="52"/>
        </w:numPr>
      </w:pPr>
      <w:r w:rsidRPr="00FC5156">
        <w:t>vadou materiálu,</w:t>
      </w:r>
    </w:p>
    <w:p w14:paraId="17543AB2" w14:textId="77777777" w:rsidR="006241F6" w:rsidRPr="00FC5156" w:rsidRDefault="006241F6" w:rsidP="0093713C">
      <w:pPr>
        <w:pStyle w:val="Seznamsodrkami"/>
        <w:numPr>
          <w:ilvl w:val="0"/>
          <w:numId w:val="52"/>
        </w:numPr>
      </w:pPr>
      <w:r w:rsidRPr="00FC5156">
        <w:t>vadným provedením prací, nebo</w:t>
      </w:r>
    </w:p>
    <w:p w14:paraId="155C8D91" w14:textId="408F5987" w:rsidR="006241F6" w:rsidRDefault="006241F6" w:rsidP="0093713C">
      <w:pPr>
        <w:pStyle w:val="Seznamsodrkami"/>
        <w:numPr>
          <w:ilvl w:val="0"/>
          <w:numId w:val="52"/>
        </w:numPr>
      </w:pPr>
      <w:r w:rsidRPr="00FC5156">
        <w:t>chybou projektové dokumentace.</w:t>
      </w:r>
    </w:p>
    <w:p w14:paraId="4DA6122B" w14:textId="77777777" w:rsidR="00FC5156" w:rsidRPr="00FC5156" w:rsidRDefault="00FC5156" w:rsidP="0093713C">
      <w:pPr>
        <w:pStyle w:val="Seznamsodrkami"/>
        <w:keepNext w:val="0"/>
        <w:keepLines w:val="0"/>
        <w:numPr>
          <w:ilvl w:val="0"/>
          <w:numId w:val="0"/>
        </w:numPr>
        <w:ind w:left="714"/>
      </w:pPr>
    </w:p>
    <w:p w14:paraId="1AAFB16B" w14:textId="77777777" w:rsidR="006241F6" w:rsidRPr="00473F42" w:rsidRDefault="006241F6" w:rsidP="00FC5156">
      <w:pPr>
        <w:pStyle w:val="TableTextEV"/>
      </w:pPr>
      <w:r w:rsidRPr="00473F42">
        <w:lastRenderedPageBreak/>
        <w:t>Tato výluka se však vztahuje pouze na bezprostředně postižené části a neplatí pro škody na správně zhotovených bezvadných částech, které vznikly při nehodě v důsledku vady materiálu nebo vadného provedení prací nebo chyby projektové dokumentace."</w:t>
      </w:r>
    </w:p>
    <w:p w14:paraId="6136231F" w14:textId="77777777" w:rsidR="006241F6" w:rsidRPr="00473F42" w:rsidRDefault="006241F6" w:rsidP="00FC5156">
      <w:pPr>
        <w:pStyle w:val="TableTextEV"/>
      </w:pPr>
      <w:r w:rsidRPr="00473F42">
        <w:t>Zvláštní pojistné: zahrnuto v celkovém pojistném</w:t>
      </w:r>
    </w:p>
    <w:p w14:paraId="74EE4083" w14:textId="77777777" w:rsidR="006241F6" w:rsidRPr="00473F42" w:rsidRDefault="006241F6" w:rsidP="00FC5156">
      <w:pPr>
        <w:pStyle w:val="TableTextEV"/>
      </w:pPr>
      <w:r w:rsidRPr="00473F42">
        <w:t>Tato doložka se však vztahuje pouze na položky (části budovaného díla) stavebních částí díla</w:t>
      </w:r>
    </w:p>
    <w:p w14:paraId="732DE323" w14:textId="77777777" w:rsidR="006241F6" w:rsidRPr="00473F42" w:rsidRDefault="006241F6" w:rsidP="00FC5156">
      <w:pPr>
        <w:pStyle w:val="TableTextEV"/>
      </w:pPr>
      <w:r w:rsidRPr="00473F42">
        <w:t>Limit pojistného plnění za jednu a všechny pojistné události dle této doložky nastalé v průběhu trvání pojištění: 30 000 000,- Kč</w:t>
      </w:r>
    </w:p>
    <w:p w14:paraId="426FB82A" w14:textId="77777777" w:rsidR="006241F6" w:rsidRPr="00473F42" w:rsidRDefault="006241F6" w:rsidP="00FC5156">
      <w:pPr>
        <w:pStyle w:val="TableTextEV"/>
      </w:pPr>
      <w:r w:rsidRPr="00473F42">
        <w:t>Spoluúčast pro obě tyto doložky je 20 %, min. 200 000,- Kč</w:t>
      </w:r>
    </w:p>
    <w:p w14:paraId="367129FA" w14:textId="77777777" w:rsidR="006241F6" w:rsidRPr="00437763" w:rsidRDefault="006241F6" w:rsidP="009B2995">
      <w:pPr>
        <w:pStyle w:val="Nadpis3"/>
      </w:pPr>
      <w:r w:rsidRPr="00437763">
        <w:t>116 Pojištění částí díla, které byly převzaty nebo uvedeny do provozu</w:t>
      </w:r>
    </w:p>
    <w:p w14:paraId="2E64312A" w14:textId="77777777" w:rsidR="006241F6" w:rsidRPr="00473F42" w:rsidRDefault="006241F6" w:rsidP="00FC5156">
      <w:pPr>
        <w:pStyle w:val="TableTextEV"/>
      </w:pPr>
      <w:r w:rsidRPr="00473F42">
        <w:t>Při zachování ustanovení, podmínek a ujednání pojistné smlouvy a pod podmínkou, že pojistník zaplatil dohodnuté zvláštní pojistné, se ujednává, že pojistitel poskytne pojistné plnění rovněž za:</w:t>
      </w:r>
    </w:p>
    <w:p w14:paraId="54BEEDD3" w14:textId="77777777" w:rsidR="006241F6" w:rsidRPr="00473F42" w:rsidRDefault="006241F6" w:rsidP="0093713C">
      <w:pPr>
        <w:pStyle w:val="Seznamsodrkami"/>
        <w:numPr>
          <w:ilvl w:val="0"/>
          <w:numId w:val="53"/>
        </w:numPr>
      </w:pPr>
      <w:r w:rsidRPr="00473F42">
        <w:t>škody na těch částech pojištěného budovaného díla, které již byly převzaty nebo uvedeny do provozu, pokud tyto škody vzniknou v době trvání pojištění ve smyslu ustanovení čl. VPP v důsledku provádění prací na jiných částech budovaného díla, pojištěných podle této pojistné smlouvy.</w:t>
      </w:r>
    </w:p>
    <w:p w14:paraId="3BB6A220" w14:textId="77777777" w:rsidR="006241F6" w:rsidRPr="00473F42" w:rsidRDefault="006241F6" w:rsidP="00FC5156">
      <w:pPr>
        <w:pStyle w:val="TableTextEV"/>
      </w:pPr>
      <w:r w:rsidRPr="00473F42">
        <w:t>Zvláštní pojistné: zahrnuto v celkovém pojistném</w:t>
      </w:r>
    </w:p>
    <w:p w14:paraId="51701013" w14:textId="77777777" w:rsidR="006241F6" w:rsidRPr="00437763" w:rsidRDefault="006241F6" w:rsidP="009B2995">
      <w:pPr>
        <w:pStyle w:val="Nadpis3"/>
      </w:pPr>
      <w:r w:rsidRPr="00437763">
        <w:t>119 Stávající majetek</w:t>
      </w:r>
    </w:p>
    <w:p w14:paraId="53258C7B" w14:textId="77777777" w:rsidR="006241F6" w:rsidRPr="00473F42" w:rsidRDefault="006241F6" w:rsidP="00FC5156">
      <w:pPr>
        <w:pStyle w:val="TableTextEV"/>
      </w:pPr>
      <w:r w:rsidRPr="00473F42">
        <w:t xml:space="preserve">Při zachování ustanovení, podmínek a ujednání pojistné smlouvy a pod podmínkou, že pojistník zaplatil dohodnuté zvláštní pojistné, se ve smyslu ustanovení VPP sjednává pojištění stávajícího majetku pro případ škody nastalé v přímé souvislosti s výstavbou budovaného díla. </w:t>
      </w:r>
    </w:p>
    <w:p w14:paraId="628B33E2" w14:textId="77777777" w:rsidR="006241F6" w:rsidRPr="00473F42" w:rsidRDefault="006241F6" w:rsidP="00FC5156">
      <w:pPr>
        <w:pStyle w:val="TableTextEV"/>
      </w:pPr>
      <w:r w:rsidRPr="00473F42">
        <w:t>Pojistitel poskytne pojistné plnění za škodu na stávajícím majetku pouze pod podmínkou, že před začátkem stavby byl stav tohoto majetku bezvadný, a že byla učiněna nezbytná bezpečnostní opatření.</w:t>
      </w:r>
    </w:p>
    <w:p w14:paraId="11523FD8" w14:textId="77777777" w:rsidR="006241F6" w:rsidRPr="00473F42" w:rsidRDefault="006241F6" w:rsidP="00FC5156">
      <w:pPr>
        <w:pStyle w:val="TableTextEV"/>
      </w:pPr>
      <w:r w:rsidRPr="00473F42">
        <w:t>Pokud jde o škodu způsobenou chvěním nebo odstraněním nebo zeslabením nosného prvku, nahradí pojistitel pojištěnému pouze škodu, která vznikne následkem úplného nebo částečného zřícení stávajícího majetku, nikoli však povrchovou škodu, která ani nenarušuje stabilitu stávajícího majetku, ani neohrožuje jeho uživatele.</w:t>
      </w:r>
    </w:p>
    <w:p w14:paraId="1B67F3AC" w14:textId="77777777" w:rsidR="006241F6" w:rsidRPr="00473F42" w:rsidRDefault="006241F6" w:rsidP="00FC5156">
      <w:pPr>
        <w:pStyle w:val="TableTextEV"/>
      </w:pPr>
      <w:r w:rsidRPr="00473F42">
        <w:t>Pojistitel neposkytne pojistné plnění za:</w:t>
      </w:r>
    </w:p>
    <w:p w14:paraId="7DFBDBC8" w14:textId="77777777" w:rsidR="006241F6" w:rsidRPr="00FC5156" w:rsidRDefault="006241F6" w:rsidP="0093713C">
      <w:pPr>
        <w:pStyle w:val="Seznamsodrkami"/>
        <w:numPr>
          <w:ilvl w:val="0"/>
          <w:numId w:val="53"/>
        </w:numPr>
      </w:pPr>
      <w:r w:rsidRPr="00FC5156">
        <w:t>škodu, kterou bylo možno předvídat s ohledem na povahu stavební práce nebo způsob jejího provádění,</w:t>
      </w:r>
    </w:p>
    <w:p w14:paraId="422B80BE" w14:textId="77777777" w:rsidR="006241F6" w:rsidRDefault="006241F6" w:rsidP="0093713C">
      <w:pPr>
        <w:pStyle w:val="Seznamsodrkami"/>
        <w:numPr>
          <w:ilvl w:val="0"/>
          <w:numId w:val="53"/>
        </w:numPr>
      </w:pPr>
      <w:r w:rsidRPr="00FC5156">
        <w:t>náklady n</w:t>
      </w:r>
      <w:r w:rsidRPr="00473F42">
        <w:t>a zábranu škod nebo opatření na jejich snížení na nejmenší míru.</w:t>
      </w:r>
    </w:p>
    <w:p w14:paraId="738484BE" w14:textId="77777777" w:rsidR="00FC5156" w:rsidRPr="00473F42" w:rsidRDefault="00FC5156" w:rsidP="00FC5156">
      <w:pPr>
        <w:pStyle w:val="Seznamsodrkami"/>
        <w:numPr>
          <w:ilvl w:val="0"/>
          <w:numId w:val="0"/>
        </w:numPr>
        <w:ind w:left="717"/>
      </w:pPr>
    </w:p>
    <w:p w14:paraId="19F6C0E2" w14:textId="77777777" w:rsidR="006241F6" w:rsidRPr="00473F42" w:rsidRDefault="006241F6" w:rsidP="00FC5156">
      <w:pPr>
        <w:pStyle w:val="TableTextEV"/>
      </w:pPr>
      <w:r w:rsidRPr="00473F42">
        <w:t>Zvláštní pojistné: zahrnuto v celkovém pojistném</w:t>
      </w:r>
    </w:p>
    <w:p w14:paraId="2A5258FF" w14:textId="77777777" w:rsidR="006241F6" w:rsidRPr="00437763" w:rsidRDefault="006241F6" w:rsidP="009B2995">
      <w:pPr>
        <w:pStyle w:val="Nadpis3"/>
      </w:pPr>
      <w:r w:rsidRPr="00437763">
        <w:t>200 Riziko výrobce</w:t>
      </w:r>
    </w:p>
    <w:p w14:paraId="342CFFA3" w14:textId="77777777" w:rsidR="006241F6" w:rsidRDefault="006241F6" w:rsidP="00FC5156">
      <w:pPr>
        <w:pStyle w:val="TableTextEV"/>
      </w:pPr>
      <w:r w:rsidRPr="00473F42">
        <w:t>Při zachování ustanovení, podmínek a ujednání pojistné smlouvy a pod podmínkou, že pojistník zaplatil dohodnuté zvláštní pojistné, se ruší a výluka a nahrazuje takto:</w:t>
      </w:r>
    </w:p>
    <w:p w14:paraId="3D57D141" w14:textId="77777777" w:rsidR="006241F6" w:rsidRPr="00473F42" w:rsidRDefault="006241F6" w:rsidP="00FC5156">
      <w:pPr>
        <w:pStyle w:val="TableTextEV"/>
      </w:pPr>
      <w:r w:rsidRPr="00473F42">
        <w:t>náklady na opravu, výměnu a/nebo náhradu položek a/nebo částí budovaného díla přímo poškozených v důsledku:</w:t>
      </w:r>
    </w:p>
    <w:p w14:paraId="6D037790" w14:textId="77777777" w:rsidR="006241F6" w:rsidRPr="00FC5156" w:rsidRDefault="006241F6" w:rsidP="0093713C">
      <w:pPr>
        <w:pStyle w:val="Seznamsodrkami"/>
        <w:numPr>
          <w:ilvl w:val="0"/>
          <w:numId w:val="54"/>
        </w:numPr>
      </w:pPr>
      <w:r w:rsidRPr="00FC5156">
        <w:t>vadného materiálu nebo lití /odlitku,</w:t>
      </w:r>
    </w:p>
    <w:p w14:paraId="390EBE0F" w14:textId="77777777" w:rsidR="006241F6" w:rsidRPr="00FC5156" w:rsidRDefault="006241F6" w:rsidP="0093713C">
      <w:pPr>
        <w:pStyle w:val="Seznamsodrkami"/>
        <w:numPr>
          <w:ilvl w:val="0"/>
          <w:numId w:val="54"/>
        </w:numPr>
      </w:pPr>
      <w:r w:rsidRPr="00FC5156">
        <w:t>vadného provedení prací (s výjimkou vad způsobených při montáži), nebo</w:t>
      </w:r>
    </w:p>
    <w:p w14:paraId="059E0AE9" w14:textId="02FABFF6" w:rsidR="006241F6" w:rsidRDefault="006241F6" w:rsidP="0093713C">
      <w:pPr>
        <w:pStyle w:val="Seznamsodrkami"/>
        <w:numPr>
          <w:ilvl w:val="0"/>
          <w:numId w:val="54"/>
        </w:numPr>
      </w:pPr>
      <w:r w:rsidRPr="00FC5156">
        <w:t>chyby projektové dokumentace</w:t>
      </w:r>
      <w:r w:rsidRPr="00473F42">
        <w:t>,</w:t>
      </w:r>
    </w:p>
    <w:p w14:paraId="781D2B02" w14:textId="77777777" w:rsidR="00D5158C" w:rsidRPr="00473F42" w:rsidRDefault="00D5158C" w:rsidP="00D5158C">
      <w:pPr>
        <w:pStyle w:val="Seznamsodrkami"/>
        <w:numPr>
          <w:ilvl w:val="0"/>
          <w:numId w:val="0"/>
        </w:numPr>
        <w:ind w:left="717"/>
      </w:pPr>
    </w:p>
    <w:p w14:paraId="1B154EBC" w14:textId="77777777" w:rsidR="006241F6" w:rsidRPr="00473F42" w:rsidRDefault="006241F6" w:rsidP="00D5158C">
      <w:pPr>
        <w:pStyle w:val="TableTextEV"/>
      </w:pPr>
      <w:r w:rsidRPr="00473F42">
        <w:t>které by pojištěný musel vynaložit na odstranění těchto vad, pokud by tyto vady byly odhaleny před tím, než došlo ke škodě.</w:t>
      </w:r>
    </w:p>
    <w:p w14:paraId="1B7A3DB8" w14:textId="77777777" w:rsidR="006241F6" w:rsidRPr="00473F42" w:rsidRDefault="006241F6" w:rsidP="00D5158C">
      <w:pPr>
        <w:pStyle w:val="TableTextEV"/>
      </w:pPr>
      <w:r w:rsidRPr="00473F42">
        <w:t>Tato doložka se nevztahuje na stavební části budovaného díla.</w:t>
      </w:r>
    </w:p>
    <w:p w14:paraId="3B9E70E5" w14:textId="749E9991" w:rsidR="006241F6" w:rsidRPr="00473F42" w:rsidRDefault="006241F6" w:rsidP="00D5158C">
      <w:pPr>
        <w:pStyle w:val="TableTextEV"/>
      </w:pPr>
      <w:r w:rsidRPr="00473F42">
        <w:t xml:space="preserve">Limit pojistného plnění za jednu a všechny pojistné události dle této doložky nastalé v průběhu trvání pojištění: </w:t>
      </w:r>
      <w:r w:rsidR="00741255">
        <w:t xml:space="preserve"> </w:t>
      </w:r>
      <w:r w:rsidRPr="00473F42">
        <w:t>30</w:t>
      </w:r>
      <w:r w:rsidR="00741255">
        <w:t xml:space="preserve"> </w:t>
      </w:r>
      <w:r w:rsidRPr="00473F42">
        <w:t>000 000,- Kč</w:t>
      </w:r>
    </w:p>
    <w:p w14:paraId="485DCBBF" w14:textId="77777777" w:rsidR="006241F6" w:rsidRPr="00473F42" w:rsidRDefault="006241F6" w:rsidP="00D5158C">
      <w:pPr>
        <w:pStyle w:val="TableTextEV"/>
      </w:pPr>
      <w:r w:rsidRPr="00473F42">
        <w:lastRenderedPageBreak/>
        <w:t>Spoluúčast pro obě tyto doložky je 20 %, min. 200 000,- Kč</w:t>
      </w:r>
    </w:p>
    <w:p w14:paraId="515E2DF6" w14:textId="77777777" w:rsidR="006241F6" w:rsidRPr="00473F42" w:rsidRDefault="006241F6" w:rsidP="00D5158C">
      <w:pPr>
        <w:pStyle w:val="TableTextEV"/>
      </w:pPr>
      <w:r w:rsidRPr="00473F42">
        <w:t>Zvláštní pojistné: zahrnuto v celkovém pojistném</w:t>
      </w:r>
    </w:p>
    <w:p w14:paraId="25160C76" w14:textId="77777777" w:rsidR="006241F6" w:rsidRPr="00437763" w:rsidRDefault="006241F6" w:rsidP="009B2995">
      <w:pPr>
        <w:pStyle w:val="Nadpis3"/>
      </w:pPr>
      <w:r w:rsidRPr="00437763">
        <w:t>201 Záruka</w:t>
      </w:r>
    </w:p>
    <w:p w14:paraId="59E8D964" w14:textId="77777777" w:rsidR="006241F6" w:rsidRPr="00473F42" w:rsidRDefault="006241F6" w:rsidP="00741255">
      <w:pPr>
        <w:pStyle w:val="TableTextEV"/>
      </w:pPr>
      <w:r w:rsidRPr="00473F42">
        <w:t>Pod podmínkou, že pojištěný zaplatil dohodnuté zvláštní pojistné, se platnost tohoto pojištění prodlužuje rovněž na záruční dobu uvedenou v této pojistné smlouvě, přičemž pojistitel poskytne pojistné plnění pouze za škodu na pojištěných položkách, která vznikne následkem chyb při montáži, vady projektové dokumentace, vady materiálu nebo odlitku nebo špatné řemeslné práce s výjimkou nákladů, které by pojištěný vynaložil na odstranění původní vady, kdyby tato vada byla rozeznána před vznikem škody.</w:t>
      </w:r>
    </w:p>
    <w:p w14:paraId="54E8B8F4" w14:textId="77777777" w:rsidR="006241F6" w:rsidRPr="00473F42" w:rsidRDefault="006241F6" w:rsidP="00741255">
      <w:pPr>
        <w:pStyle w:val="TableTextEV"/>
      </w:pPr>
      <w:r w:rsidRPr="00473F42">
        <w:t>Toto rozšíření se však nevztahuje na škodu, která vznikne přímo nebo nepřímo v důsledku nebo v souvislosti s požárem, výbuchem nebo jakoukoli jinou živelní událostí ani na jakoukoliv odpovědnost za škodu vzniklou třetím osobám.</w:t>
      </w:r>
    </w:p>
    <w:p w14:paraId="7F0C4A7E" w14:textId="77777777" w:rsidR="006241F6" w:rsidRPr="00473F42" w:rsidRDefault="006241F6" w:rsidP="00741255">
      <w:pPr>
        <w:pStyle w:val="TableTextEV"/>
      </w:pPr>
      <w:r w:rsidRPr="00473F42">
        <w:t>Pojištění záruční doby: 24 měsíců</w:t>
      </w:r>
    </w:p>
    <w:p w14:paraId="1592CC85" w14:textId="77777777" w:rsidR="006241F6" w:rsidRPr="00473F42" w:rsidRDefault="006241F6" w:rsidP="00741255">
      <w:pPr>
        <w:pStyle w:val="TableTextEV"/>
      </w:pPr>
      <w:r w:rsidRPr="00473F42">
        <w:t>Souhrnný limit pojistného plnění za jednu a všechny pojistné události dle této doložky nastalé v průběhu trvání pojištění: 50 000 000,- Kč</w:t>
      </w:r>
    </w:p>
    <w:p w14:paraId="3BBCD0D3" w14:textId="77777777" w:rsidR="006241F6" w:rsidRPr="00473F42" w:rsidRDefault="006241F6" w:rsidP="00741255">
      <w:pPr>
        <w:pStyle w:val="TableTextEV"/>
      </w:pPr>
      <w:r w:rsidRPr="00473F42">
        <w:t xml:space="preserve">Spoluúčast: 200 000,- Kč </w:t>
      </w:r>
    </w:p>
    <w:p w14:paraId="55A40591" w14:textId="77777777" w:rsidR="006241F6" w:rsidRPr="00473F42" w:rsidRDefault="006241F6" w:rsidP="00741255">
      <w:pPr>
        <w:pStyle w:val="TableTextEV"/>
        <w:rPr>
          <w:spacing w:val="-2"/>
          <w:sz w:val="20"/>
        </w:rPr>
      </w:pPr>
      <w:r w:rsidRPr="00473F42">
        <w:t>Zvláštní pojistné: započteno do základního pojistného</w:t>
      </w:r>
    </w:p>
    <w:p w14:paraId="1076807E" w14:textId="77777777" w:rsidR="006241F6" w:rsidRPr="00437763" w:rsidRDefault="006241F6" w:rsidP="009B2995">
      <w:pPr>
        <w:pStyle w:val="Nadpis3"/>
      </w:pPr>
      <w:r w:rsidRPr="00437763">
        <w:t>202 Pojištění stavebních a montážních strojů, nářadí a přístrojů</w:t>
      </w:r>
    </w:p>
    <w:p w14:paraId="2D2C1C12" w14:textId="77777777" w:rsidR="006241F6" w:rsidRPr="00473F42" w:rsidRDefault="006241F6" w:rsidP="00741255">
      <w:pPr>
        <w:pStyle w:val="TableTextEV"/>
      </w:pPr>
      <w:r w:rsidRPr="00473F42">
        <w:t>Při zachování ustanovení, podmínek a ujednání pojistné smlouvy a pod podmínkou, že pojistník zaplatil dohodnuté zvláštní pojistné, se ve smyslu VPP sjednává pojištění stavebních a montážních strojů, nářadí a přístrojů sloužících k realizaci pojištěného budovaného díla, avšak s vyloučením:</w:t>
      </w:r>
    </w:p>
    <w:p w14:paraId="103D9E28" w14:textId="77777777" w:rsidR="006241F6" w:rsidRPr="00741255" w:rsidRDefault="006241F6" w:rsidP="0093713C">
      <w:pPr>
        <w:pStyle w:val="Seznamsodrkami"/>
        <w:keepNext w:val="0"/>
        <w:keepLines w:val="0"/>
        <w:numPr>
          <w:ilvl w:val="0"/>
          <w:numId w:val="55"/>
        </w:numPr>
      </w:pPr>
      <w:r w:rsidRPr="00473F42">
        <w:t xml:space="preserve">ztráty nebo </w:t>
      </w:r>
      <w:r w:rsidRPr="00741255">
        <w:t>škody způsobené elektrickou, elektronickou nebo mechanickou poruchou, selháním či lomem, zmrznutím chladicí kapaliny nebo podobného média, vadným mazáním, nedostatkem maziva nebo chladicí kapaliny; pokud ale v důsledku takové poruchy, poškození nebo zničení nastane nehoda, která způsobí vnější poškození nebo zničení pojištěné věci, pak se na následně vzniklé vnější poškození nebo zničení pojištěných věcí pojištění vztahuje,</w:t>
      </w:r>
    </w:p>
    <w:p w14:paraId="26E9202D" w14:textId="77777777" w:rsidR="006241F6" w:rsidRPr="00741255" w:rsidRDefault="006241F6" w:rsidP="0093713C">
      <w:pPr>
        <w:pStyle w:val="Seznamsodrkami"/>
        <w:keepNext w:val="0"/>
        <w:keepLines w:val="0"/>
        <w:numPr>
          <w:ilvl w:val="0"/>
          <w:numId w:val="55"/>
        </w:numPr>
      </w:pPr>
      <w:r w:rsidRPr="00741255">
        <w:t>ztráty nebo škody na motorových nebo přípojných vozidlech, která mají přidělenou registrační značku (státní poznávací značku), kromě případů, kdy jsou tato vozidla používána výlučně na staveništi nebo místě montáže; drážních vozidlech nebo na plavidlech nebo letadlech všeho druhu,</w:t>
      </w:r>
    </w:p>
    <w:p w14:paraId="5884284D" w14:textId="77777777" w:rsidR="006241F6" w:rsidRPr="00741255" w:rsidRDefault="006241F6" w:rsidP="0093713C">
      <w:pPr>
        <w:pStyle w:val="Seznamsodrkami"/>
        <w:keepNext w:val="0"/>
        <w:keepLines w:val="0"/>
        <w:numPr>
          <w:ilvl w:val="0"/>
          <w:numId w:val="55"/>
        </w:numPr>
      </w:pPr>
      <w:r w:rsidRPr="00741255">
        <w:t>ztráty nebo škody u opotřebovaných dílů a příslušenství, jako např. špičky vrtáků, vrtačky, nože a jiné řezné plochy, pilové listy, matrice, licí formy, šablony, mlecí a drticí plochy, mříže a síta, lana, popruhy, řetězy, výtahové a dopravní pásy, baterie, pneumatiky, spojovací dráty a kabely, pružné trubky, pravidelně obnovovaný krycí a těsnicí materiál,</w:t>
      </w:r>
    </w:p>
    <w:p w14:paraId="610AF686" w14:textId="77777777" w:rsidR="006241F6" w:rsidRPr="00741255" w:rsidRDefault="006241F6" w:rsidP="0093713C">
      <w:pPr>
        <w:pStyle w:val="Seznamsodrkami"/>
        <w:keepNext w:val="0"/>
        <w:keepLines w:val="0"/>
        <w:numPr>
          <w:ilvl w:val="0"/>
          <w:numId w:val="55"/>
        </w:numPr>
      </w:pPr>
      <w:r w:rsidRPr="00741255">
        <w:t>ztráty nebo škody vzniklé explozí kotle nebo tlakové nádoby pod vnitřním tlakem páry, plynu nebo kapaliny nebo spalovacího motoru,</w:t>
      </w:r>
    </w:p>
    <w:p w14:paraId="7CA069BD" w14:textId="77777777" w:rsidR="006241F6" w:rsidRPr="00741255" w:rsidRDefault="006241F6" w:rsidP="0093713C">
      <w:pPr>
        <w:pStyle w:val="Seznamsodrkami"/>
        <w:keepNext w:val="0"/>
        <w:keepLines w:val="0"/>
        <w:numPr>
          <w:ilvl w:val="0"/>
          <w:numId w:val="55"/>
        </w:numPr>
      </w:pPr>
      <w:r w:rsidRPr="00741255">
        <w:t>ztráty nebo škody úplným nebo částečným potopením při záplavě přílivem,</w:t>
      </w:r>
    </w:p>
    <w:p w14:paraId="3105698D" w14:textId="77777777" w:rsidR="006241F6" w:rsidRPr="00741255" w:rsidRDefault="006241F6" w:rsidP="0093713C">
      <w:pPr>
        <w:pStyle w:val="Seznamsodrkami"/>
        <w:keepNext w:val="0"/>
        <w:keepLines w:val="0"/>
        <w:numPr>
          <w:ilvl w:val="0"/>
          <w:numId w:val="55"/>
        </w:numPr>
      </w:pPr>
      <w:r w:rsidRPr="00741255">
        <w:t>ztráty nebo škody při přepravě,</w:t>
      </w:r>
    </w:p>
    <w:p w14:paraId="37AF23A9" w14:textId="77777777" w:rsidR="006241F6" w:rsidRPr="00741255" w:rsidRDefault="006241F6" w:rsidP="0093713C">
      <w:pPr>
        <w:pStyle w:val="Seznamsodrkami"/>
        <w:keepNext w:val="0"/>
        <w:keepLines w:val="0"/>
        <w:numPr>
          <w:ilvl w:val="0"/>
          <w:numId w:val="55"/>
        </w:numPr>
      </w:pPr>
      <w:r w:rsidRPr="00741255">
        <w:t>ztráty a škody, pokud se pojištěná věc nějakým způsobem testuje nebo používá k nějakému účelu, pro který nebyla vyrobena,</w:t>
      </w:r>
    </w:p>
    <w:p w14:paraId="54F7D147" w14:textId="77777777" w:rsidR="006241F6" w:rsidRPr="00741255" w:rsidRDefault="006241F6" w:rsidP="0093713C">
      <w:pPr>
        <w:pStyle w:val="Seznamsodrkami"/>
        <w:keepNext w:val="0"/>
        <w:keepLines w:val="0"/>
        <w:numPr>
          <w:ilvl w:val="0"/>
          <w:numId w:val="55"/>
        </w:numPr>
      </w:pPr>
      <w:r w:rsidRPr="00741255">
        <w:t>ztráty nebo škody na stavebních nebo montážních strojích, nářadích nebo přístrojích umístěných v podzemí, pokud není ujednáno jinak,</w:t>
      </w:r>
    </w:p>
    <w:p w14:paraId="42246430" w14:textId="77777777" w:rsidR="006241F6" w:rsidRDefault="006241F6" w:rsidP="0093713C">
      <w:pPr>
        <w:pStyle w:val="Seznamsodrkami"/>
        <w:keepNext w:val="0"/>
        <w:keepLines w:val="0"/>
        <w:numPr>
          <w:ilvl w:val="0"/>
          <w:numId w:val="55"/>
        </w:numPr>
      </w:pPr>
      <w:r w:rsidRPr="00741255">
        <w:t>následné škody nebo ručení</w:t>
      </w:r>
      <w:r w:rsidRPr="00473F42">
        <w:t xml:space="preserve"> jakéhokoli druhu</w:t>
      </w:r>
    </w:p>
    <w:p w14:paraId="1AF3E738" w14:textId="77777777" w:rsidR="00741255" w:rsidRPr="00473F42" w:rsidRDefault="00741255" w:rsidP="0093713C">
      <w:pPr>
        <w:pStyle w:val="Seznamsodrkami"/>
        <w:keepNext w:val="0"/>
        <w:keepLines w:val="0"/>
        <w:numPr>
          <w:ilvl w:val="0"/>
          <w:numId w:val="0"/>
        </w:numPr>
        <w:ind w:left="714"/>
      </w:pPr>
    </w:p>
    <w:p w14:paraId="092465A6" w14:textId="77777777" w:rsidR="006241F6" w:rsidRPr="00473F42" w:rsidRDefault="006241F6" w:rsidP="00741255">
      <w:pPr>
        <w:pStyle w:val="TableTextEV"/>
      </w:pPr>
      <w:r w:rsidRPr="00473F42">
        <w:lastRenderedPageBreak/>
        <w:t xml:space="preserve">U všech žalob, soudních řízení nebo jiných řízení, u nichž pojistitel uplatňuje, že ztráta nebo škoda nebo zničení podle ustanovení výluk této doložky není kryta, přísluší důkazní břemeno, že tato ztráta nebo škoda nebo toto zničení je pojistnou událostí, pojištěnému. </w:t>
      </w:r>
    </w:p>
    <w:p w14:paraId="545C4D79" w14:textId="77777777" w:rsidR="006241F6" w:rsidRPr="00473F42" w:rsidRDefault="006241F6" w:rsidP="00741255">
      <w:pPr>
        <w:pStyle w:val="TableTextEV"/>
      </w:pPr>
      <w:r w:rsidRPr="00473F42">
        <w:t>Pokud pojištěný pojistitele informoval a získal písemný souhlas pojistitele, může provést opravy nebo vyměnit poškozené díly; ve všech ostatních případech musí mít zástupce pojistitele příležitost si škodu prohlédnout, než se opravy nebo změny uskuteční. Neprovede-li zástupce pojistitele inspekci v době odpovídající stavu věci, je pojištěný oprávněn provést opravy nebo vyměnit poškozené díly.</w:t>
      </w:r>
    </w:p>
    <w:p w14:paraId="7414EF53" w14:textId="77777777" w:rsidR="006241F6" w:rsidRPr="00473F42" w:rsidRDefault="006241F6" w:rsidP="00741255">
      <w:pPr>
        <w:pStyle w:val="TableTextEV"/>
      </w:pPr>
      <w:r w:rsidRPr="00473F42">
        <w:t>Pojistnou hodnotou stavebních a montážních strojů je jejich nová cena.</w:t>
      </w:r>
    </w:p>
    <w:p w14:paraId="622E3138" w14:textId="77777777" w:rsidR="006241F6" w:rsidRPr="00473F42" w:rsidRDefault="006241F6" w:rsidP="00741255">
      <w:pPr>
        <w:pStyle w:val="TableTextEV"/>
      </w:pPr>
      <w:r w:rsidRPr="00473F42">
        <w:t>Zvláštní pojistné: započteno do základního pojistného</w:t>
      </w:r>
    </w:p>
    <w:p w14:paraId="21232B1B" w14:textId="10591CE3" w:rsidR="006241F6" w:rsidRPr="00473F42" w:rsidRDefault="006241F6" w:rsidP="006241F6">
      <w:pPr>
        <w:spacing w:after="60" w:line="240" w:lineRule="auto"/>
        <w:rPr>
          <w:rFonts w:ascii="Times New Roman" w:hAnsi="Times New Roman" w:cs="Times New Roman"/>
        </w:rPr>
      </w:pPr>
    </w:p>
    <w:p w14:paraId="5D3964A7" w14:textId="77777777" w:rsidR="006241F6" w:rsidRPr="0093713C" w:rsidRDefault="006241F6" w:rsidP="009B2995">
      <w:pPr>
        <w:pStyle w:val="Nadpis2"/>
        <w:rPr>
          <w:color w:val="808080" w:themeColor="background1" w:themeShade="80"/>
        </w:rPr>
      </w:pPr>
      <w:r w:rsidRPr="0093713C">
        <w:rPr>
          <w:color w:val="808080" w:themeColor="background1" w:themeShade="80"/>
        </w:rPr>
        <w:t>Přípustné doložky</w:t>
      </w:r>
    </w:p>
    <w:p w14:paraId="7DD73D32" w14:textId="77777777" w:rsidR="006241F6" w:rsidRPr="00473F42" w:rsidRDefault="006241F6" w:rsidP="00741255">
      <w:pPr>
        <w:pStyle w:val="TableTextEV"/>
      </w:pPr>
      <w:r w:rsidRPr="00473F42">
        <w:t>Následující doložky mohou být součástí rozsahu pojistného krytí. Přípustné jsou takové změny textu, které nebudou mít vliv na faktický rozsah krytí.</w:t>
      </w:r>
    </w:p>
    <w:p w14:paraId="4553A1E6" w14:textId="77777777" w:rsidR="006241F6" w:rsidRPr="00437763" w:rsidRDefault="006241F6" w:rsidP="009B2995">
      <w:pPr>
        <w:pStyle w:val="Nadpis3"/>
      </w:pPr>
      <w:r w:rsidRPr="00437763">
        <w:t>Podmínky zabezpečení proti odcizení</w:t>
      </w:r>
    </w:p>
    <w:p w14:paraId="3476BC69" w14:textId="77777777" w:rsidR="006241F6" w:rsidRPr="00473F42" w:rsidRDefault="006241F6" w:rsidP="00741255">
      <w:pPr>
        <w:pStyle w:val="TableTextEV"/>
      </w:pPr>
      <w:r w:rsidRPr="00473F42">
        <w:t>Pojistitel je oprávněn použít standardní podmínky limitující pojistné plnění podle způsobu uložení a zabezpečení pojištěných věcí.</w:t>
      </w:r>
    </w:p>
    <w:p w14:paraId="4A26E967" w14:textId="77777777" w:rsidR="006241F6" w:rsidRPr="00437763" w:rsidRDefault="006241F6" w:rsidP="009B2995">
      <w:pPr>
        <w:pStyle w:val="Nadpis3"/>
      </w:pPr>
      <w:r w:rsidRPr="00437763">
        <w:t>013 Skladování materiálu mimo staveniště</w:t>
      </w:r>
    </w:p>
    <w:p w14:paraId="51D4E56A" w14:textId="77777777" w:rsidR="006241F6" w:rsidRPr="00473F42" w:rsidRDefault="006241F6" w:rsidP="008D39A1">
      <w:pPr>
        <w:pStyle w:val="TableTextEV"/>
      </w:pPr>
      <w:r w:rsidRPr="00473F42">
        <w:t>Při zachování ustanovení, podmínek a ujednání pojistné smlouvy a pod podmínkou, že pojistník zaplatil dohodnuté zvláštní pojistné, se pojistné krytí poskytované touto pojistnou smlouvou rozšiřuje na ztráty a škody na materiálu použitého k realizaci budovaného díla, který je skladován mimo staveniště, a to na území České republiky na místech předem pojistitelem písemně potvrzených. Pojištění se však nevztahuje na položky, které jsou v dané chvíli vyráběny, zpracovávány nebo skladovány v areálu výrobce, distributora nebo dodavatele.</w:t>
      </w:r>
    </w:p>
    <w:p w14:paraId="6F71FAE8" w14:textId="77777777" w:rsidR="006241F6" w:rsidRPr="00473F42" w:rsidRDefault="006241F6" w:rsidP="008D39A1">
      <w:pPr>
        <w:pStyle w:val="TableTextEV"/>
      </w:pPr>
      <w:r w:rsidRPr="00473F42">
        <w:t>Podmínky pojištění a pojistného plnění jsou kromě ujednání uvedených v této doložce dále vymezeny příslušnými ujednáními pojistné smlouvy a dalšími doložkami.</w:t>
      </w:r>
    </w:p>
    <w:p w14:paraId="02B3899A" w14:textId="77777777" w:rsidR="006241F6" w:rsidRPr="00473F42" w:rsidRDefault="006241F6" w:rsidP="008D39A1">
      <w:pPr>
        <w:pStyle w:val="TableTextEV"/>
      </w:pPr>
      <w:r w:rsidRPr="00473F42">
        <w:t>Maximální hodnota skladovaného materiálu: 1.000.000,- Kč, spoluúčast 50.000,- Kč</w:t>
      </w:r>
    </w:p>
    <w:p w14:paraId="3CB27B0A" w14:textId="77777777" w:rsidR="006241F6" w:rsidRPr="00437763" w:rsidRDefault="006241F6" w:rsidP="001444B6">
      <w:pPr>
        <w:pStyle w:val="Nadpis3"/>
      </w:pPr>
      <w:r w:rsidRPr="00437763">
        <w:t>102 Zvláštní podmínky pro podzemní kabely, potrubí a jiná zařízení</w:t>
      </w:r>
    </w:p>
    <w:p w14:paraId="2626FAEA" w14:textId="77777777" w:rsidR="006241F6" w:rsidRPr="00473F42" w:rsidRDefault="006241F6" w:rsidP="008D39A1">
      <w:pPr>
        <w:pStyle w:val="TableTextEV"/>
      </w:pPr>
      <w:r w:rsidRPr="00473F42">
        <w:t>Při zachování ustanovení, podmínek a ujednání této pojistné smlouvy se ujednává, že pojistitel poskytne pojistné plnění za škodu na stávajících podzemních kabelech nebo potrubí nebo jiných podzemních zařízeních jedině tehdy, jestliže se pojištěný před začátkem prací informoval u příslušných úřadů na přesnou polohu těchto kabelů, potrubí nebo jiných podzemních zařízení, a jestliže podnikl veškeré nezbytné kroky, aby se vyhnul jejich poškození.</w:t>
      </w:r>
    </w:p>
    <w:p w14:paraId="4074AA0A" w14:textId="77777777" w:rsidR="006241F6" w:rsidRPr="00473F42" w:rsidRDefault="006241F6" w:rsidP="008D39A1">
      <w:pPr>
        <w:pStyle w:val="TableTextEV"/>
      </w:pPr>
      <w:r w:rsidRPr="00473F42">
        <w:t>Pojistné plnění za škody na podzemních kabelech nebo potrubí nebo jiných podzemních zařízeních, jejichž poloha odpovídá dokumentaci (nákresy znázorňující polohu podzemních zařízení), bude vyplaceno po odečtení spoluúčasti ve výši 20 % pojistného plnění nebo spoluúčasti uvedené níže pod bodem a), podle toho, která z nich je vyšší.</w:t>
      </w:r>
    </w:p>
    <w:p w14:paraId="56AC22F7" w14:textId="77777777" w:rsidR="006241F6" w:rsidRPr="00473F42" w:rsidRDefault="006241F6" w:rsidP="008D39A1">
      <w:pPr>
        <w:pStyle w:val="TableTextEV"/>
      </w:pPr>
      <w:r w:rsidRPr="00473F42">
        <w:t>Pojistné plnění za škody na podzemních zařízeních, která jsou v dokumentaci zachycena nesprávně, bude vyplaceno po odečtení spoluúčasti uvedené níže pod bodem b).</w:t>
      </w:r>
    </w:p>
    <w:p w14:paraId="24C635B3" w14:textId="77777777" w:rsidR="006241F6" w:rsidRPr="00473F42" w:rsidRDefault="006241F6" w:rsidP="008D39A1">
      <w:pPr>
        <w:pStyle w:val="TableTextEV"/>
      </w:pPr>
      <w:r w:rsidRPr="00473F42">
        <w:t>Plnění bude v každém případě omezeno pouze na náhradu nákladů na opravu těchto kabelů, potrubí nebo jiných podzemních zařízení, přičemž jakékoli následné škody a pokuty jsou z pojistného krytí vyloučeny.</w:t>
      </w:r>
    </w:p>
    <w:p w14:paraId="3C588C62" w14:textId="5F0A6126" w:rsidR="006241F6" w:rsidRDefault="006241F6" w:rsidP="00297B0A">
      <w:pPr>
        <w:pStyle w:val="TableTextEV"/>
      </w:pPr>
      <w:r w:rsidRPr="00297B0A">
        <w:t>Spoluúčast:</w:t>
      </w:r>
      <w:r w:rsidRPr="00297B0A">
        <w:tab/>
        <w:t>100.000,- Kč</w:t>
      </w:r>
    </w:p>
    <w:p w14:paraId="2C0E62AB" w14:textId="77777777" w:rsidR="006241F6" w:rsidRPr="00437763" w:rsidRDefault="006241F6" w:rsidP="001444B6">
      <w:pPr>
        <w:pStyle w:val="Nadpis3"/>
      </w:pPr>
      <w:bookmarkStart w:id="1" w:name="D107"/>
      <w:r w:rsidRPr="00437763">
        <w:t>107 Podmínka pro zařízení k provizornímu hromadnému ubytování a sklady</w:t>
      </w:r>
    </w:p>
    <w:p w14:paraId="3EEC1682" w14:textId="77777777" w:rsidR="006241F6" w:rsidRDefault="006241F6" w:rsidP="00297B0A">
      <w:pPr>
        <w:pStyle w:val="TableTextEV"/>
      </w:pPr>
      <w:r w:rsidRPr="00473F42">
        <w:t>Při zachování ustanovení, podmínek a ujednání pojistné smlouvy se ujednává, že pojistitel poskytne pojistné plnění za škodu přímo nebo nepřímo způsobenou na zařízeních pro provizorní hromadné ubytování a skladištích:</w:t>
      </w:r>
    </w:p>
    <w:p w14:paraId="022851A5" w14:textId="77777777" w:rsidR="006241F6" w:rsidRDefault="006241F6" w:rsidP="0093713C">
      <w:pPr>
        <w:pStyle w:val="Seznamsodrkami"/>
        <w:keepNext w:val="0"/>
        <w:keepLines w:val="0"/>
        <w:numPr>
          <w:ilvl w:val="0"/>
          <w:numId w:val="56"/>
        </w:numPr>
      </w:pPr>
      <w:r w:rsidRPr="00C673C9">
        <w:t xml:space="preserve">povodní nebo záplavou jedině tehdy, jsou-li tato zařízení pro provizorní hromadné ubytování a skladiště umístěna nad úrovní hladiny povodně, pro kterou by kulminační průtok a povodňový objem vody příslušného toku naměřený správním orgánem příslušného povodí odpovídal menší než </w:t>
      </w:r>
      <w:proofErr w:type="gramStart"/>
      <w:r w:rsidRPr="00C673C9">
        <w:t>20-ti leté</w:t>
      </w:r>
      <w:proofErr w:type="gramEnd"/>
      <w:r w:rsidRPr="00C673C9">
        <w:t xml:space="preserve"> povodňové vlně, </w:t>
      </w:r>
    </w:p>
    <w:p w14:paraId="5FD0E74E" w14:textId="6415DBAB" w:rsidR="006241F6" w:rsidRDefault="006241F6" w:rsidP="0093713C">
      <w:pPr>
        <w:pStyle w:val="Seznamsodrkami"/>
        <w:keepNext w:val="0"/>
        <w:keepLines w:val="0"/>
        <w:numPr>
          <w:ilvl w:val="0"/>
          <w:numId w:val="56"/>
        </w:numPr>
      </w:pPr>
      <w:r w:rsidRPr="00C673C9">
        <w:lastRenderedPageBreak/>
        <w:t xml:space="preserve">požárem jedině tehdy, jsou-li jednotlivé skladovací jednotky od sebe vzdáleny alespoň </w:t>
      </w:r>
      <w:smartTag w:uri="urn:schemas-microsoft-com:office:smarttags" w:element="metricconverter">
        <w:smartTagPr>
          <w:attr w:name="ProductID" w:val="50 m"/>
        </w:smartTagPr>
        <w:r w:rsidRPr="00C673C9">
          <w:t>50 m</w:t>
        </w:r>
      </w:smartTag>
      <w:r w:rsidRPr="00C673C9">
        <w:t xml:space="preserve"> nebo odděleny požárními stěnami. Za skladovací jednotku se považuje také soubor buněk - tzv. </w:t>
      </w:r>
      <w:proofErr w:type="spellStart"/>
      <w:r w:rsidRPr="00C673C9">
        <w:t>buňkoviště</w:t>
      </w:r>
      <w:proofErr w:type="spellEnd"/>
      <w:r w:rsidR="008033A1">
        <w:t>.</w:t>
      </w:r>
    </w:p>
    <w:p w14:paraId="6C46764D" w14:textId="77777777" w:rsidR="006241F6" w:rsidRPr="00437763" w:rsidRDefault="006241F6" w:rsidP="001444B6">
      <w:pPr>
        <w:pStyle w:val="Nadpis3"/>
      </w:pPr>
      <w:bookmarkStart w:id="2" w:name="D108"/>
      <w:bookmarkEnd w:id="1"/>
      <w:r w:rsidRPr="00437763">
        <w:t>108 Podmínka pro zařízení a vybavení staveniště, nářadí a stroje</w:t>
      </w:r>
    </w:p>
    <w:p w14:paraId="66354615" w14:textId="77777777" w:rsidR="006241F6" w:rsidRPr="00473F42" w:rsidRDefault="006241F6" w:rsidP="008033A1">
      <w:pPr>
        <w:pStyle w:val="TableTextEV"/>
      </w:pPr>
      <w:r w:rsidRPr="00473F42">
        <w:t>Při zachování ustanovení, podmínek a ujednání pojistné smlouvy se ujednává, že pojistitel poskytne pojistné plnění za škodu přímo nebo nepřímo způsobenou na zařízení a vybavení staveniště, stavebních a montážních strojích, nářadí a přístrojích povodní nebo záplavou jedině tehdy, jsou-li tyto výše uvedené předměty po ukončení práce nebo při přerušení jejich činnosti umístěny nad úrovní hladiny povodně, pro kterou by kulminační průtok a povodňový objem vody příslušného toku, naměřený správním orgánem příslušného povodí, odpovídal menší než 20-ti leté povodňové vlně.</w:t>
      </w:r>
    </w:p>
    <w:p w14:paraId="24CE72DD" w14:textId="77777777" w:rsidR="006241F6" w:rsidRPr="00437763" w:rsidRDefault="006241F6" w:rsidP="006D0F13">
      <w:pPr>
        <w:pStyle w:val="Nadpis3"/>
      </w:pPr>
      <w:bookmarkStart w:id="3" w:name="D109"/>
      <w:bookmarkEnd w:id="2"/>
      <w:r w:rsidRPr="00437763">
        <w:t>109 Podmínka pro skladování materiálu</w:t>
      </w:r>
    </w:p>
    <w:p w14:paraId="1F195CF5" w14:textId="77777777" w:rsidR="006241F6" w:rsidRPr="00473F42" w:rsidRDefault="006241F6" w:rsidP="00DE6ACE">
      <w:pPr>
        <w:pStyle w:val="TableTextEV"/>
      </w:pPr>
      <w:r w:rsidRPr="00473F42">
        <w:t xml:space="preserve">Při zachování ustanovení, podmínek a ujednání pojistné smlouvy se ujednává, že pojistitel poskytne pojistné plnění za škodu přímo nebo nepřímo způsobenou na materiálu, který se má stát součástí budovaného díla, povodní nebo záplavou jedině tehdy, nepřesahuje-li jeho množství potřebu na tři dny, a jsou-li množství, která tuto potřebu přesahují, umístěna nad úrovní hladiny povodně, pro kterou by kulminační průtok a povodňový objem vody příslušného toku, naměřený správním orgánem příslušného povodí, odpovídal menší než 20leté povodňové vlně. </w:t>
      </w:r>
    </w:p>
    <w:p w14:paraId="2B0FE039" w14:textId="77777777" w:rsidR="006241F6" w:rsidRPr="00437763" w:rsidRDefault="006241F6" w:rsidP="006D0F13">
      <w:pPr>
        <w:pStyle w:val="Nadpis3"/>
      </w:pPr>
      <w:bookmarkStart w:id="4" w:name="D110"/>
      <w:bookmarkEnd w:id="3"/>
      <w:r w:rsidRPr="00437763">
        <w:t>110 Zvláštní podmínky pro bezpečnostní opatření pro případ povětrnostních srážek, povodně a záplavy</w:t>
      </w:r>
    </w:p>
    <w:p w14:paraId="1B19AD8C" w14:textId="77777777" w:rsidR="006241F6" w:rsidRPr="00DE6ACE" w:rsidRDefault="006241F6" w:rsidP="00DE6ACE">
      <w:pPr>
        <w:pStyle w:val="TableTextEV"/>
      </w:pPr>
      <w:r w:rsidRPr="00473F42">
        <w:t xml:space="preserve">Při zachování ustanovení, podmínek </w:t>
      </w:r>
      <w:r w:rsidRPr="00DE6ACE">
        <w:t>a ujednání této pojistné smlouvy se ujednává, že pojistitel poskytne pojistné plnění za škodu přímo nebo nepřímo způsobenou povětrnostními srážkami, povodní nebo záplavou jedině tehdy, byla-li učiněna přiměřená bezpečnostní opatření při projektování a realizaci budovaného díla.</w:t>
      </w:r>
    </w:p>
    <w:p w14:paraId="4323883C" w14:textId="77777777" w:rsidR="006241F6" w:rsidRPr="00DE6ACE" w:rsidRDefault="006241F6" w:rsidP="00DE6ACE">
      <w:pPr>
        <w:pStyle w:val="TableTextEV"/>
      </w:pPr>
      <w:r w:rsidRPr="00DE6ACE">
        <w:t>Přiměřená bezpečnostní opatření znamenají, že pro místo pojištění a celou dobu pojištění byly provedeny taková technická opatření, která zabrání zaplavení nebo zatopení místa pojištění vodou, jejíž hladina nepřesáhne úroveň hladiny povodně, pro kterou by kulminační průtok a povodňový objem vody příslušného toku naměřený správním orgánem příslušného povodí, odpovídal menší než 20leté povodňové vlně.</w:t>
      </w:r>
    </w:p>
    <w:p w14:paraId="452E3E5D" w14:textId="77777777" w:rsidR="006241F6" w:rsidRDefault="006241F6" w:rsidP="00DE6ACE">
      <w:pPr>
        <w:pStyle w:val="TableTextEV"/>
      </w:pPr>
      <w:r w:rsidRPr="00DE6ACE">
        <w:t>Za škodu vyplývající z toho, že pojištěný ihned neodstranil překážky (např. písek, stromy) z koryt vodních toků na území staveniště a v jeho bezprostředním okolí, ať již je v nich voda, či nikoli, aby udržel volný tok vody, se náhrada škody neposkytuje.</w:t>
      </w:r>
    </w:p>
    <w:p w14:paraId="1A1B4416" w14:textId="77777777" w:rsidR="006241F6" w:rsidRPr="00437763" w:rsidRDefault="006241F6" w:rsidP="006D0F13">
      <w:pPr>
        <w:pStyle w:val="Nadpis3"/>
      </w:pPr>
      <w:bookmarkStart w:id="5" w:name="D111"/>
      <w:bookmarkEnd w:id="4"/>
      <w:r w:rsidRPr="00437763">
        <w:t>111 Zvláštní podmínky ohledně odstranění suti ze sesuvů půdy</w:t>
      </w:r>
    </w:p>
    <w:p w14:paraId="230FD2B7" w14:textId="77777777" w:rsidR="006241F6" w:rsidRPr="00473F42" w:rsidRDefault="006241F6" w:rsidP="00687CA8">
      <w:pPr>
        <w:pStyle w:val="TableTextEV"/>
      </w:pPr>
      <w:r w:rsidRPr="00473F42">
        <w:t xml:space="preserve">Pojistitel </w:t>
      </w:r>
      <w:r w:rsidRPr="00687CA8">
        <w:t>neposkytne</w:t>
      </w:r>
      <w:r w:rsidRPr="00473F42">
        <w:t xml:space="preserve"> pojistné plnění za:</w:t>
      </w:r>
    </w:p>
    <w:p w14:paraId="31137E57" w14:textId="77777777" w:rsidR="006241F6" w:rsidRPr="00473F42" w:rsidRDefault="006241F6" w:rsidP="0093713C">
      <w:pPr>
        <w:pStyle w:val="Seznamsodrkami"/>
        <w:numPr>
          <w:ilvl w:val="0"/>
          <w:numId w:val="57"/>
        </w:numPr>
      </w:pPr>
      <w:r w:rsidRPr="00473F42">
        <w:t xml:space="preserve">náklady na odstranění suti a hornin ze sesuvů půdy, které </w:t>
      </w:r>
      <w:r w:rsidRPr="00534440">
        <w:t>přesáhnou</w:t>
      </w:r>
      <w:r w:rsidRPr="00473F42">
        <w:t xml:space="preserve"> náklady na vytěžení původního materiálu z oblasti postižené těmito sesuvy,</w:t>
      </w:r>
    </w:p>
    <w:p w14:paraId="53E28A80" w14:textId="77777777" w:rsidR="006241F6" w:rsidRPr="00473F42" w:rsidRDefault="006241F6" w:rsidP="0093713C">
      <w:pPr>
        <w:pStyle w:val="Seznamsodrkami"/>
        <w:numPr>
          <w:ilvl w:val="0"/>
          <w:numId w:val="57"/>
        </w:numPr>
      </w:pPr>
      <w:r w:rsidRPr="00473F42">
        <w:t xml:space="preserve">náklady na opravu erozí rozrušených svahů nebo jiných stavebně upravených oblastí, </w:t>
      </w:r>
      <w:r w:rsidRPr="00534440">
        <w:t>nepodnikl</w:t>
      </w:r>
      <w:r w:rsidRPr="00473F42">
        <w:t>-li pojištěný nutná opatření, nebo nepodnikl-li je včas.</w:t>
      </w:r>
    </w:p>
    <w:bookmarkEnd w:id="5"/>
    <w:p w14:paraId="34E82180" w14:textId="77777777" w:rsidR="006241F6" w:rsidRPr="00437763" w:rsidRDefault="006241F6" w:rsidP="00534440">
      <w:pPr>
        <w:pStyle w:val="Nadpis3"/>
      </w:pPr>
      <w:r w:rsidRPr="00437763">
        <w:t>112 Podmínky pro protipožární zabezpečení staveniště</w:t>
      </w:r>
    </w:p>
    <w:p w14:paraId="4859EC8A" w14:textId="77777777" w:rsidR="006241F6" w:rsidRPr="00473F42" w:rsidRDefault="006241F6" w:rsidP="00687CA8">
      <w:pPr>
        <w:pStyle w:val="TableTextEV"/>
        <w:rPr>
          <w:bCs/>
        </w:rPr>
      </w:pPr>
      <w:r w:rsidRPr="00473F42">
        <w:t xml:space="preserve">Při zachování ustanovení, podmínek a ujednání pojistné smlouvy se ujednává, že pojistitel poskytne pojistné plnění za škodu nebo odpovědnostní nárok přímo nebo nepřímo způsobené požárem jedině tehdy, byla-li na staveništi učiněna přiměřená bezpečnostní opatření k zajištění požární bezpečnosti, která budou </w:t>
      </w:r>
      <w:r w:rsidRPr="00473F42">
        <w:rPr>
          <w:bCs/>
        </w:rPr>
        <w:t xml:space="preserve">odpovídat požárnímu nebezpečí, stupni rozestavěnosti </w:t>
      </w:r>
      <w:r w:rsidRPr="00473F42">
        <w:t>a platné legislativě v oblasti požární ochrany.</w:t>
      </w:r>
    </w:p>
    <w:p w14:paraId="3CD43716" w14:textId="77777777" w:rsidR="006241F6" w:rsidRPr="008C3442" w:rsidRDefault="006241F6" w:rsidP="008C3442">
      <w:pPr>
        <w:pStyle w:val="slovanseznam"/>
      </w:pPr>
      <w:r w:rsidRPr="00473F42">
        <w:t xml:space="preserve">Na staveništi bude zaveden funkční rozvod vody, netýká se stavenišť, kde </w:t>
      </w:r>
      <w:r w:rsidRPr="008C3442">
        <w:t xml:space="preserve">to z technického hlediska není možné, např. u liniových staveb. </w:t>
      </w:r>
    </w:p>
    <w:p w14:paraId="34520F60" w14:textId="77777777" w:rsidR="006241F6" w:rsidRPr="008C3442" w:rsidRDefault="006241F6" w:rsidP="008C3442">
      <w:pPr>
        <w:pStyle w:val="slovanseznam"/>
      </w:pPr>
      <w:r w:rsidRPr="008C3442">
        <w:t xml:space="preserve">Staveniště bude vybaveno v potřebném množství a druzích přenosnými hasicími přístroji (PHP), které budou provozuschopné a jejich umístění umožní snadné a rychlé použití. </w:t>
      </w:r>
    </w:p>
    <w:p w14:paraId="4B249B2F" w14:textId="77777777" w:rsidR="006241F6" w:rsidRPr="008C3442" w:rsidRDefault="006241F6" w:rsidP="008C3442">
      <w:pPr>
        <w:pStyle w:val="slovanseznam"/>
      </w:pPr>
      <w:r w:rsidRPr="008C3442">
        <w:t xml:space="preserve">Pro všechny dodavatele bude zaveden systém povolení k práci s otevřeným ohněm (svařování, řezání, natavování hydroizolačních pásů apod.). Povolení musí obsahovat opatření k zajištění </w:t>
      </w:r>
      <w:r w:rsidRPr="008C3442">
        <w:lastRenderedPageBreak/>
        <w:t>požární bezpečnosti, zejména stanovení požární asistence a zajištění následného dozoru v místě, kde se tyto práce provádějí. Musí být vždy k dispozici PHP.</w:t>
      </w:r>
    </w:p>
    <w:p w14:paraId="56623496" w14:textId="77777777" w:rsidR="006241F6" w:rsidRPr="008C3442" w:rsidRDefault="006241F6" w:rsidP="008C3442">
      <w:pPr>
        <w:pStyle w:val="slovanseznam"/>
      </w:pPr>
      <w:r w:rsidRPr="008C3442">
        <w:t xml:space="preserve">Veškeré požárně nebezpečné látky a materiály jako hořlavé kapaliny, tlakové lahve, výbušniny apod., budou skladovány podle příslušných předpisů a v dostatečné vzdálenosti od místa, kde se staví, montuje nebo pracuje s otevřeným ohněm. Hořlavé obaly a odpady musí být ukládány na k tomu určeném, odděleném místě a pravidelně odváženy. Komunikace zachovávány průjezdné, komunikační prostory nezastavěné. </w:t>
      </w:r>
    </w:p>
    <w:p w14:paraId="10884885" w14:textId="77777777" w:rsidR="006241F6" w:rsidRPr="008C3442" w:rsidRDefault="006241F6" w:rsidP="008C3442">
      <w:pPr>
        <w:pStyle w:val="slovanseznam"/>
      </w:pPr>
      <w:r w:rsidRPr="008C3442">
        <w:t xml:space="preserve">Prokazatelně bude prováděno vstupní školení zaměstnanců a dodavatelů o požární ochraně. Vždy při nástupu nových pracovníků a při změně požárního nebezpečí budou pracovníci prokazatelně seznámeni s aktuálním rozmístěním prostředků požární ochrany a způsobem ohlašování požáru. </w:t>
      </w:r>
    </w:p>
    <w:p w14:paraId="5752CA9E" w14:textId="77777777" w:rsidR="006241F6" w:rsidRPr="008C3442" w:rsidRDefault="006241F6" w:rsidP="008C3442">
      <w:pPr>
        <w:pStyle w:val="slovanseznam"/>
      </w:pPr>
      <w:r w:rsidRPr="008C3442">
        <w:t>Bude jmenována osoba odpovědná za plnění úkolů požární ochrany (pravidelné kontroly, vedení dokumentace, školení zaměstnanců, vystavování povolení k práci s otevřeným ohněm).</w:t>
      </w:r>
    </w:p>
    <w:p w14:paraId="1E33E0FF" w14:textId="77777777" w:rsidR="006241F6" w:rsidRPr="008C3442" w:rsidRDefault="006241F6" w:rsidP="008C3442">
      <w:pPr>
        <w:pStyle w:val="slovanseznam"/>
      </w:pPr>
      <w:r w:rsidRPr="008C3442">
        <w:t xml:space="preserve">Pokud to podmínky a charakter stavby umožní, bude staveniště oploceno. </w:t>
      </w:r>
    </w:p>
    <w:p w14:paraId="474B690F" w14:textId="77777777" w:rsidR="006241F6" w:rsidRPr="008C3442" w:rsidRDefault="006241F6" w:rsidP="008C3442">
      <w:pPr>
        <w:pStyle w:val="slovanseznam"/>
      </w:pPr>
      <w:r w:rsidRPr="008C3442">
        <w:t>V místnosti stavbyvedoucího nebo hlídací služby budou vyvěšeny požární poplachové směrnice s důležitými telefonními čísly (hasiči, policie, záchranka, havarijní služby). Tyto budou dále umístěny v šatnách a jiných provozních místnostech stavby.</w:t>
      </w:r>
    </w:p>
    <w:p w14:paraId="330A36CC" w14:textId="77777777" w:rsidR="006241F6" w:rsidRPr="008C3442" w:rsidRDefault="006241F6" w:rsidP="008C3442">
      <w:pPr>
        <w:pStyle w:val="slovanseznam"/>
      </w:pPr>
      <w:r w:rsidRPr="008C3442">
        <w:t>Pravidelně budou kontrolovány elektrické spotřebiče (vařiče, varné konvice, topná tělesa) z hlediska jejich bezpečného připojení a umístění.</w:t>
      </w:r>
    </w:p>
    <w:p w14:paraId="29E4FB7D" w14:textId="77777777" w:rsidR="006241F6" w:rsidRPr="008C3442" w:rsidRDefault="006241F6" w:rsidP="008C3442">
      <w:pPr>
        <w:pStyle w:val="slovanseznam"/>
      </w:pPr>
      <w:r w:rsidRPr="008C3442">
        <w:t>V šatnách a místnostech pro přípravu občerstvení bude rozmístěn dostatečný počet PHP.</w:t>
      </w:r>
    </w:p>
    <w:p w14:paraId="5090B9E9" w14:textId="77777777" w:rsidR="006241F6" w:rsidRPr="008C3442" w:rsidRDefault="006241F6" w:rsidP="008C3442">
      <w:pPr>
        <w:pStyle w:val="slovanseznam"/>
      </w:pPr>
      <w:r w:rsidRPr="008C3442">
        <w:t>Veškerá požárně bezpečnostní zařízení jako elektrická požární signalizace (EPS), stabilní hasicí zařízení (SHZ), zařízení pro odvod kouře a tepla (ZOKT), navržená a schválená v projektové dokumentaci, budou uváděna do provozu co nejdříve po jejich instalování.</w:t>
      </w:r>
    </w:p>
    <w:p w14:paraId="5B38EEC4" w14:textId="77777777" w:rsidR="006241F6" w:rsidRPr="008C3442" w:rsidRDefault="006241F6" w:rsidP="008C3442">
      <w:pPr>
        <w:pStyle w:val="slovanseznam"/>
      </w:pPr>
      <w:r w:rsidRPr="008C3442">
        <w:t>Bude vypracován plán staveniště s vyznačením skladů nebezpečných látek, příjezdových a zásahových cest.</w:t>
      </w:r>
    </w:p>
    <w:p w14:paraId="322CCE37" w14:textId="77777777" w:rsidR="006241F6" w:rsidRPr="008C3442" w:rsidRDefault="006241F6" w:rsidP="008C3442">
      <w:pPr>
        <w:pStyle w:val="slovanseznam"/>
      </w:pPr>
      <w:r w:rsidRPr="008C3442">
        <w:t>Rozmístění PHP eventuálně vybavení hydrantových skříní bude pravidelně kontrolováno jednou měsíčně.</w:t>
      </w:r>
    </w:p>
    <w:p w14:paraId="7BEFD4DD" w14:textId="77777777" w:rsidR="006241F6" w:rsidRPr="008C3442" w:rsidRDefault="006241F6" w:rsidP="008C3442">
      <w:pPr>
        <w:pStyle w:val="slovanseznam"/>
      </w:pPr>
      <w:r w:rsidRPr="008C3442">
        <w:t>O pravidelně prováděných kontrolách budou vedeny záznamy.</w:t>
      </w:r>
    </w:p>
    <w:p w14:paraId="3AC62E07" w14:textId="77777777" w:rsidR="006241F6" w:rsidRPr="00437763" w:rsidRDefault="006241F6" w:rsidP="00B14489">
      <w:pPr>
        <w:pStyle w:val="Nadpis3"/>
      </w:pPr>
      <w:r w:rsidRPr="00437763">
        <w:t xml:space="preserve">114 Sériové škody </w:t>
      </w:r>
    </w:p>
    <w:p w14:paraId="5FE0933D" w14:textId="77777777" w:rsidR="006241F6" w:rsidRPr="00473F42" w:rsidRDefault="006241F6" w:rsidP="00687CA8">
      <w:pPr>
        <w:pStyle w:val="TableTextEV"/>
      </w:pPr>
      <w:r w:rsidRPr="00473F42">
        <w:t>Při zachování ustanovení, podmínek a ujednání pojistné smlouvy se ujednává, že pojistitel poskytne pojistné plnění za škodu způsobenou chybou projektové dokumentace (je-li kryta sjednaným připojištěním), vadou materiálu nebo řemeslné práce v důsledku jedné a téže příčiny na stavbách, částech staveb, strojích nebo zařízení téhož typu podle následující stupnice (před odečtením spoluúčasti sjednané pojistnou smlouvou pro každou škodnou událost):</w:t>
      </w:r>
    </w:p>
    <w:p w14:paraId="457D7D0D" w14:textId="77777777" w:rsidR="006241F6" w:rsidRPr="00473F42" w:rsidRDefault="006241F6" w:rsidP="0093713C">
      <w:pPr>
        <w:pStyle w:val="Seznamsodrkami"/>
        <w:numPr>
          <w:ilvl w:val="0"/>
          <w:numId w:val="58"/>
        </w:numPr>
      </w:pPr>
      <w:proofErr w:type="gramStart"/>
      <w:r w:rsidRPr="00473F42">
        <w:t>100%</w:t>
      </w:r>
      <w:proofErr w:type="gramEnd"/>
      <w:r w:rsidRPr="00473F42">
        <w:t xml:space="preserve"> </w:t>
      </w:r>
      <w:r w:rsidRPr="00B14489">
        <w:t>prvních</w:t>
      </w:r>
      <w:r w:rsidRPr="00473F42">
        <w:t xml:space="preserve"> 2 škod</w:t>
      </w:r>
    </w:p>
    <w:p w14:paraId="7A333928" w14:textId="77777777" w:rsidR="006241F6" w:rsidRDefault="006241F6" w:rsidP="0093713C">
      <w:pPr>
        <w:pStyle w:val="Seznamsodrkami"/>
        <w:numPr>
          <w:ilvl w:val="0"/>
          <w:numId w:val="58"/>
        </w:numPr>
      </w:pPr>
      <w:proofErr w:type="gramStart"/>
      <w:r w:rsidRPr="00473F42">
        <w:t>60%</w:t>
      </w:r>
      <w:proofErr w:type="gramEnd"/>
      <w:r w:rsidRPr="00473F42">
        <w:t xml:space="preserve"> 3. škody</w:t>
      </w:r>
    </w:p>
    <w:p w14:paraId="3FF34DFE" w14:textId="77777777" w:rsidR="00687CA8" w:rsidRPr="00473F42" w:rsidRDefault="00687CA8" w:rsidP="00687CA8">
      <w:pPr>
        <w:pStyle w:val="Seznamsodrkami"/>
        <w:numPr>
          <w:ilvl w:val="0"/>
          <w:numId w:val="0"/>
        </w:numPr>
        <w:ind w:left="717"/>
      </w:pPr>
    </w:p>
    <w:p w14:paraId="1A24A0C8" w14:textId="77777777" w:rsidR="006241F6" w:rsidRPr="00473F42" w:rsidRDefault="006241F6" w:rsidP="00687CA8">
      <w:pPr>
        <w:pStyle w:val="TableTextEV"/>
      </w:pPr>
      <w:r w:rsidRPr="00473F42">
        <w:t>Za další škody se pojistné plnění neposkytuje.</w:t>
      </w:r>
    </w:p>
    <w:p w14:paraId="0A38C5D7" w14:textId="77777777" w:rsidR="006241F6" w:rsidRPr="00437763" w:rsidRDefault="006241F6" w:rsidP="00B14489">
      <w:pPr>
        <w:pStyle w:val="Nadpis3"/>
        <w:rPr>
          <w:spacing w:val="-2"/>
        </w:rPr>
      </w:pPr>
      <w:r w:rsidRPr="00437763">
        <w:t>117 Zvláštní podmínky pro pokládání vodovodního a kanalizačního potrubí</w:t>
      </w:r>
    </w:p>
    <w:p w14:paraId="3F0A90E3" w14:textId="77777777" w:rsidR="006241F6" w:rsidRPr="00473F42" w:rsidRDefault="006241F6" w:rsidP="00687CA8">
      <w:pPr>
        <w:pStyle w:val="TableTextEV"/>
      </w:pPr>
      <w:r w:rsidRPr="00473F42">
        <w:t>Při zachování ustanovení, podmínek a ujednání pojistné smlouvy se ujednává, že pojistitel poskytne pojistné plnění za škodu vzniklou zaplavením nebo ucpáním potrubí, výkopů nebo stavebních jam, pouze do níže uvedené maximální délky otevřeného výkopu, zcela nebo zčásti vyhloubeného, a to za jednu a každou pojistnou událost.</w:t>
      </w:r>
    </w:p>
    <w:p w14:paraId="13652EC2" w14:textId="77777777" w:rsidR="006241F6" w:rsidRPr="00473F42" w:rsidRDefault="006241F6" w:rsidP="00687CA8">
      <w:pPr>
        <w:pStyle w:val="TableTextEV"/>
      </w:pPr>
      <w:r w:rsidRPr="00473F42">
        <w:t>Pojistitel poskytne pojistné plnění pouze v případě, že:</w:t>
      </w:r>
    </w:p>
    <w:p w14:paraId="2BBF773C" w14:textId="77777777" w:rsidR="006241F6" w:rsidRPr="001E6F82" w:rsidRDefault="006241F6" w:rsidP="001E6F82">
      <w:pPr>
        <w:pStyle w:val="slovanseznam"/>
        <w:numPr>
          <w:ilvl w:val="0"/>
          <w:numId w:val="42"/>
        </w:numPr>
      </w:pPr>
      <w:r w:rsidRPr="001E6F82">
        <w:t>potrubí bylo ihned po položení zajištěno zasypáním tak, aby v případě zaplavení výkopu nemohlo dojít k jeho posunutí,</w:t>
      </w:r>
    </w:p>
    <w:p w14:paraId="6B4DF975" w14:textId="77777777" w:rsidR="006241F6" w:rsidRPr="00473F42" w:rsidRDefault="006241F6" w:rsidP="001E6F82">
      <w:pPr>
        <w:pStyle w:val="slovanseznam"/>
      </w:pPr>
      <w:r w:rsidRPr="00473F42">
        <w:lastRenderedPageBreak/>
        <w:t>potrubí bylo ihned po položení do doby uvedení do provozu uzavřeno, aby se zabránilo vniknutí vody, bahna apod.,</w:t>
      </w:r>
    </w:p>
    <w:p w14:paraId="2967F458" w14:textId="77777777" w:rsidR="006241F6" w:rsidRPr="00473F42" w:rsidRDefault="006241F6" w:rsidP="001E6F82">
      <w:pPr>
        <w:pStyle w:val="slovanseznam"/>
      </w:pPr>
      <w:r w:rsidRPr="00473F42">
        <w:t>výkopy s vyzkoušenými úseky potrubí byly zasypány ihned po provedení tlakové zkoušky.</w:t>
      </w:r>
    </w:p>
    <w:p w14:paraId="19786C66" w14:textId="77777777" w:rsidR="006241F6" w:rsidRPr="00473F42" w:rsidRDefault="006241F6" w:rsidP="001E6F82">
      <w:pPr>
        <w:pStyle w:val="slovanseznam"/>
        <w:rPr>
          <w:spacing w:val="-2"/>
        </w:rPr>
      </w:pPr>
      <w:r w:rsidRPr="00473F42">
        <w:rPr>
          <w:spacing w:val="-2"/>
        </w:rPr>
        <w:t xml:space="preserve">Maximální délka: </w:t>
      </w:r>
      <w:r w:rsidRPr="00473F42">
        <w:t>3 000</w:t>
      </w:r>
      <w:r w:rsidRPr="00473F42">
        <w:rPr>
          <w:spacing w:val="-2"/>
        </w:rPr>
        <w:t xml:space="preserve"> metrů</w:t>
      </w:r>
    </w:p>
    <w:p w14:paraId="3BE34292" w14:textId="77777777" w:rsidR="006241F6" w:rsidRPr="00437763" w:rsidRDefault="006241F6" w:rsidP="00B14489">
      <w:pPr>
        <w:pStyle w:val="Nadpis3"/>
      </w:pPr>
      <w:r w:rsidRPr="00437763">
        <w:t>121 Zvláštní podmínky pro pilotové základy a pro stěny stavebních jam</w:t>
      </w:r>
    </w:p>
    <w:p w14:paraId="187DB9C0" w14:textId="77777777" w:rsidR="006241F6" w:rsidRPr="00473F42" w:rsidRDefault="006241F6" w:rsidP="006D12DA">
      <w:pPr>
        <w:pStyle w:val="TableTextEV"/>
      </w:pPr>
      <w:r w:rsidRPr="00473F42">
        <w:t>Pojistitel neposkytne pojistné plnění za výdaje:</w:t>
      </w:r>
    </w:p>
    <w:p w14:paraId="2A4BC501" w14:textId="77777777" w:rsidR="006241F6" w:rsidRPr="001E6F82" w:rsidRDefault="006241F6" w:rsidP="001E6F82">
      <w:pPr>
        <w:pStyle w:val="slovanseznam"/>
        <w:numPr>
          <w:ilvl w:val="0"/>
          <w:numId w:val="43"/>
        </w:numPr>
      </w:pPr>
      <w:r w:rsidRPr="001E6F82">
        <w:t>vynaložené na náhradu nebo opravu pilot nebo částí stěn stavebních jam,</w:t>
      </w:r>
    </w:p>
    <w:p w14:paraId="37D1916E" w14:textId="77777777" w:rsidR="006241F6" w:rsidRPr="00B26C59" w:rsidRDefault="006241F6" w:rsidP="00B26C59">
      <w:pPr>
        <w:pStyle w:val="slovanseznam"/>
        <w:numPr>
          <w:ilvl w:val="1"/>
          <w:numId w:val="43"/>
        </w:numPr>
      </w:pPr>
      <w:r w:rsidRPr="00473F42">
        <w:t xml:space="preserve">u </w:t>
      </w:r>
      <w:r w:rsidRPr="00B26C59">
        <w:t>nichž dojde během jejich usazování nebo osazování k posunu, zaklínění nebo natočení nebo jestliže nejsou správně usazeny,</w:t>
      </w:r>
    </w:p>
    <w:p w14:paraId="7DC4E92C" w14:textId="77777777" w:rsidR="006241F6" w:rsidRPr="00B26C59" w:rsidRDefault="006241F6" w:rsidP="00B26C59">
      <w:pPr>
        <w:pStyle w:val="slovanseznam"/>
        <w:numPr>
          <w:ilvl w:val="1"/>
          <w:numId w:val="43"/>
        </w:numPr>
      </w:pPr>
      <w:r w:rsidRPr="00B26C59">
        <w:t>které se stanou nepotřebnými nebo jichž bylo nutno se vzdát nebo které byly během beranicích prací nebo při vytahování poškozeny,</w:t>
      </w:r>
    </w:p>
    <w:p w14:paraId="06323061" w14:textId="77777777" w:rsidR="006241F6" w:rsidRPr="00B26C59" w:rsidRDefault="006241F6" w:rsidP="00B26C59">
      <w:pPr>
        <w:pStyle w:val="slovanseznam"/>
        <w:numPr>
          <w:ilvl w:val="1"/>
          <w:numId w:val="43"/>
        </w:numPr>
      </w:pPr>
      <w:r w:rsidRPr="00B26C59">
        <w:t>které již dále nejsou použitelné z důvodu jejich zaklínění nebo z důvodu poškození zařízení vrtu nebo trubkových výztuží nebo pažení;</w:t>
      </w:r>
    </w:p>
    <w:p w14:paraId="4E76A239" w14:textId="77777777" w:rsidR="006241F6" w:rsidRPr="00B26C59" w:rsidRDefault="006241F6" w:rsidP="00B26C59">
      <w:pPr>
        <w:pStyle w:val="slovanseznam"/>
      </w:pPr>
      <w:r w:rsidRPr="00B26C59">
        <w:t>vynaložené na opravu špatně provedených nebo neuvolnitelných zámkových spojů desek těsnicích stěn;</w:t>
      </w:r>
    </w:p>
    <w:p w14:paraId="383A4C42" w14:textId="77777777" w:rsidR="006241F6" w:rsidRPr="00B26C59" w:rsidRDefault="006241F6" w:rsidP="00B26C59">
      <w:pPr>
        <w:pStyle w:val="slovanseznam"/>
      </w:pPr>
      <w:r w:rsidRPr="00B26C59">
        <w:t>vynaložených na odstranění netěsností nebo výtoků materiálu jakéhokoliv druhu;</w:t>
      </w:r>
    </w:p>
    <w:p w14:paraId="2F8C5ADE" w14:textId="77777777" w:rsidR="006241F6" w:rsidRPr="00B26C59" w:rsidRDefault="006241F6" w:rsidP="00B26C59">
      <w:pPr>
        <w:pStyle w:val="slovanseznam"/>
      </w:pPr>
      <w:r w:rsidRPr="00B26C59">
        <w:t>na vyplnění trhlin nebo dutin nebo na náhradu ztrát bentonitu nebo betonu jakéhokoliv druhu;</w:t>
      </w:r>
    </w:p>
    <w:p w14:paraId="3686B6CA" w14:textId="77777777" w:rsidR="006241F6" w:rsidRPr="00B26C59" w:rsidRDefault="006241F6" w:rsidP="00B26C59">
      <w:pPr>
        <w:pStyle w:val="slovanseznam"/>
      </w:pPr>
      <w:r w:rsidRPr="00B26C59">
        <w:t>vynaložené proto, že piloty nebo základové prvky nevyhověly při zkouškách nosnosti nebo z jakéhokoliv jiného důvodu nesplňují požadavky na jejich nosnost;</w:t>
      </w:r>
    </w:p>
    <w:p w14:paraId="691F2970" w14:textId="77777777" w:rsidR="006241F6" w:rsidRPr="00B26C59" w:rsidRDefault="006241F6" w:rsidP="00B26C59">
      <w:pPr>
        <w:pStyle w:val="slovanseznam"/>
      </w:pPr>
      <w:r w:rsidRPr="00B26C59">
        <w:t>na opětnou výrobu profilů nebo opětné provedení vyměřování.</w:t>
      </w:r>
    </w:p>
    <w:p w14:paraId="6B85A785" w14:textId="77777777" w:rsidR="006241F6" w:rsidRPr="00473F42" w:rsidRDefault="006241F6" w:rsidP="006241F6">
      <w:pPr>
        <w:pStyle w:val="slovanseznam"/>
        <w:numPr>
          <w:ilvl w:val="0"/>
          <w:numId w:val="0"/>
        </w:numPr>
        <w:spacing w:after="60"/>
        <w:ind w:left="360"/>
        <w:rPr>
          <w:rFonts w:ascii="Times New Roman" w:hAnsi="Times New Roman" w:cs="Times New Roman"/>
        </w:rPr>
      </w:pPr>
    </w:p>
    <w:p w14:paraId="0178807F" w14:textId="77777777" w:rsidR="006241F6" w:rsidRDefault="006241F6" w:rsidP="006D12DA">
      <w:pPr>
        <w:pStyle w:val="TableTextEV"/>
        <w:rPr>
          <w:b/>
          <w:bCs/>
        </w:rPr>
      </w:pPr>
      <w:r w:rsidRPr="006D12DA">
        <w:rPr>
          <w:b/>
          <w:bCs/>
        </w:rPr>
        <w:t>Tato doložka neplatí pro škody vzniklé z příčiny „povodně“, „vichřice“ nebo „sesuvu“ (nevztahuje se na sesouvání půdy, zřícení skal nebo zemin v důsledku budování pojištěného budovaného díla). Průkazní břemeno toho, že škoda je tímto pojištěním kryta, náleží pojištěnému.</w:t>
      </w:r>
    </w:p>
    <w:p w14:paraId="5F5EDCE8" w14:textId="77777777" w:rsidR="00E453FA" w:rsidRDefault="00E453FA" w:rsidP="006D12DA">
      <w:pPr>
        <w:pStyle w:val="TableTextEV"/>
        <w:rPr>
          <w:b/>
          <w:bCs/>
        </w:rPr>
      </w:pPr>
    </w:p>
    <w:p w14:paraId="73B045A1" w14:textId="77777777" w:rsidR="0021060B" w:rsidRPr="006D12DA" w:rsidRDefault="0021060B" w:rsidP="006D12DA">
      <w:pPr>
        <w:pStyle w:val="TableTextEV"/>
        <w:rPr>
          <w:b/>
          <w:bCs/>
        </w:rPr>
      </w:pPr>
    </w:p>
    <w:p w14:paraId="4A3BFFB1" w14:textId="77777777" w:rsidR="006241F6" w:rsidRPr="001B5E4A" w:rsidRDefault="006241F6" w:rsidP="00E453FA">
      <w:pPr>
        <w:pStyle w:val="Nadpis1"/>
        <w:rPr>
          <w:color w:val="808080" w:themeColor="background1" w:themeShade="80"/>
        </w:rPr>
      </w:pPr>
      <w:bookmarkStart w:id="6" w:name="_Toc505116546"/>
      <w:r w:rsidRPr="001B5E4A">
        <w:rPr>
          <w:color w:val="808080" w:themeColor="background1" w:themeShade="80"/>
        </w:rPr>
        <w:t>Obchodní podmínky</w:t>
      </w:r>
      <w:bookmarkEnd w:id="6"/>
    </w:p>
    <w:p w14:paraId="7ACCF4DD" w14:textId="77777777" w:rsidR="006241F6" w:rsidRPr="00473F42" w:rsidRDefault="006241F6" w:rsidP="0021060B">
      <w:pPr>
        <w:pStyle w:val="TableTextEV"/>
      </w:pPr>
      <w:r w:rsidRPr="00473F42">
        <w:t>Následující ujednání budou součástí návrhu pojistné smlouvy. Povoleny jsou pouze takové odchylky v textaci ujednání, které nezmění význam příslušných ujednání.</w:t>
      </w:r>
    </w:p>
    <w:p w14:paraId="23DAB66D" w14:textId="77777777" w:rsidR="006241F6" w:rsidRPr="00C673C9" w:rsidRDefault="006241F6" w:rsidP="00A03CDB">
      <w:pPr>
        <w:pStyle w:val="Nadpis3"/>
      </w:pPr>
      <w:bookmarkStart w:id="7" w:name="_Toc505116548"/>
      <w:r w:rsidRPr="00C673C9">
        <w:t>Vyřazení majetku z pojištění</w:t>
      </w:r>
      <w:bookmarkEnd w:id="7"/>
    </w:p>
    <w:p w14:paraId="18953C0E" w14:textId="77777777" w:rsidR="006241F6" w:rsidRPr="00473F42" w:rsidRDefault="006241F6" w:rsidP="0021060B">
      <w:pPr>
        <w:pStyle w:val="TableTextEV"/>
      </w:pPr>
      <w:r w:rsidRPr="00473F42">
        <w:t>Odchylně od ustanovení pojistných podmínek zaniká pojištění jednotlivého budovaného díla okamžikem ukončení prvního zkušebního provozu před předáním budovaného díla nebo jeho části objednateli, nejpozději však po 12 týdnech od okamžiku zahájení prvního zkušebního provozu.</w:t>
      </w:r>
    </w:p>
    <w:p w14:paraId="302DB15D" w14:textId="77777777" w:rsidR="006241F6" w:rsidRPr="00C673C9" w:rsidRDefault="006241F6" w:rsidP="00A03CDB">
      <w:pPr>
        <w:pStyle w:val="Nadpis3"/>
      </w:pPr>
      <w:bookmarkStart w:id="8" w:name="_Toc505116550"/>
      <w:r w:rsidRPr="00C673C9">
        <w:t>Změna harmonogramu</w:t>
      </w:r>
      <w:bookmarkEnd w:id="8"/>
    </w:p>
    <w:p w14:paraId="63FA132D" w14:textId="77777777" w:rsidR="006241F6" w:rsidRPr="00473F42" w:rsidRDefault="006241F6" w:rsidP="0021060B">
      <w:pPr>
        <w:pStyle w:val="TableTextEV"/>
      </w:pPr>
      <w:r w:rsidRPr="00473F42">
        <w:t>Při zachování začátku a konce pojištění pojistitel akceptuje případnou změnu harmonogramu výstavby díla nebo montáže technologií oproti předpokladu dodaného v rámci zadávací dokumentace veřejné zakázky.</w:t>
      </w:r>
    </w:p>
    <w:p w14:paraId="0BBE8FC0" w14:textId="77777777" w:rsidR="006241F6" w:rsidRPr="00C673C9" w:rsidRDefault="006241F6" w:rsidP="00A03CDB">
      <w:pPr>
        <w:pStyle w:val="Nadpis3"/>
      </w:pPr>
      <w:bookmarkStart w:id="9" w:name="_Toc505116551"/>
      <w:r w:rsidRPr="00C673C9">
        <w:t>Pojistný zájem</w:t>
      </w:r>
      <w:bookmarkEnd w:id="9"/>
    </w:p>
    <w:p w14:paraId="289D6988" w14:textId="77777777" w:rsidR="006241F6" w:rsidRPr="00473F42" w:rsidRDefault="006241F6" w:rsidP="00D35573">
      <w:pPr>
        <w:pStyle w:val="TableTextEV"/>
      </w:pPr>
      <w:r w:rsidRPr="00473F42">
        <w:t xml:space="preserve">Pojistník prohlašuje, že má oprávněnou potřebu ochrany před následky pojistné události (pojistný zájem) ve smyslu příslušného ustanovení občanského zákoníku. </w:t>
      </w:r>
    </w:p>
    <w:p w14:paraId="39E64366" w14:textId="77777777" w:rsidR="006241F6" w:rsidRPr="00C673C9" w:rsidRDefault="006241F6" w:rsidP="00A03CDB">
      <w:pPr>
        <w:pStyle w:val="Nadpis3"/>
      </w:pPr>
      <w:r w:rsidRPr="00C673C9">
        <w:t>Odstoupení od smlouvy; výpověď</w:t>
      </w:r>
    </w:p>
    <w:p w14:paraId="51B47459" w14:textId="77777777" w:rsidR="006241F6" w:rsidRPr="00473F42" w:rsidRDefault="006241F6" w:rsidP="00CA4669">
      <w:pPr>
        <w:pStyle w:val="TableTextEV"/>
      </w:pPr>
      <w:r w:rsidRPr="00473F42">
        <w:t>Smluvní strany se dohodly, že závazky vzniklé z této smlouvy mohou zaniknout výpovědí, a to za níže uvedených podmínek.</w:t>
      </w:r>
    </w:p>
    <w:p w14:paraId="12E06170" w14:textId="77777777" w:rsidR="006241F6" w:rsidRPr="00473F42" w:rsidRDefault="006241F6" w:rsidP="004D6647">
      <w:pPr>
        <w:pStyle w:val="slovanseznam"/>
        <w:numPr>
          <w:ilvl w:val="0"/>
          <w:numId w:val="46"/>
        </w:numPr>
      </w:pPr>
      <w:r w:rsidRPr="00473F42">
        <w:lastRenderedPageBreak/>
        <w:t>Pojistník je oprávněn závazky vypovědět v souladu s příslušnými zákonnými ustanoveními.</w:t>
      </w:r>
    </w:p>
    <w:p w14:paraId="4506B6C4" w14:textId="77777777" w:rsidR="006241F6" w:rsidRPr="00473F42" w:rsidRDefault="006241F6" w:rsidP="00E7085D">
      <w:pPr>
        <w:pStyle w:val="slovanseznam"/>
      </w:pPr>
      <w:r w:rsidRPr="00473F42">
        <w:t>Pro případ výpovědi ze strany Pojistitele, z důvodů umožněných zákonem, sjednávají Smluvní strany odchylně od příslušných zákonných ustanovení 6 (slovy: šesti) měsíční výpovědní dobu, která počíná běžet od počátku kalendářního měsíce následujícího po měsíci, v němž byla výpověď Pojistníkovi doručena.</w:t>
      </w:r>
    </w:p>
    <w:p w14:paraId="2D9E5612" w14:textId="77777777" w:rsidR="006241F6" w:rsidRPr="00473F42" w:rsidRDefault="006241F6" w:rsidP="00E7085D">
      <w:pPr>
        <w:pStyle w:val="slovanseznam"/>
      </w:pPr>
      <w:r w:rsidRPr="00473F42">
        <w:t>Výpověď musí mít písemnou formu.</w:t>
      </w:r>
    </w:p>
    <w:p w14:paraId="2E58B45A" w14:textId="77777777" w:rsidR="006241F6" w:rsidRDefault="006241F6" w:rsidP="00E7085D">
      <w:pPr>
        <w:pStyle w:val="slovanseznam"/>
      </w:pPr>
      <w:r w:rsidRPr="00473F42">
        <w:t>Vypoví-li Pojistník nebo Pojistitel závazky vzniklé z této Smlouvy, je Pojistitel povinen do 30 (slovy: třiceti) kalendářních dnů ode dne uplynutí výpovědní doby nahradit Pojistníkovi zaplacené pojistné odpovídající té části pojistného období, pro kterou byly závazky z této Smlouvy vypovězeny.</w:t>
      </w:r>
    </w:p>
    <w:p w14:paraId="0E8C4F9C" w14:textId="77777777" w:rsidR="00CA4669" w:rsidRPr="00473F42" w:rsidRDefault="00CA4669" w:rsidP="00CA4669">
      <w:pPr>
        <w:pStyle w:val="slovanseznam"/>
        <w:numPr>
          <w:ilvl w:val="0"/>
          <w:numId w:val="0"/>
        </w:numPr>
        <w:ind w:left="360"/>
      </w:pPr>
    </w:p>
    <w:p w14:paraId="1C0BA2EF" w14:textId="77777777" w:rsidR="006241F6" w:rsidRPr="00C673C9" w:rsidRDefault="006241F6" w:rsidP="00E7085D">
      <w:pPr>
        <w:pStyle w:val="Nadpis3"/>
      </w:pPr>
      <w:bookmarkStart w:id="10" w:name="_Toc505116553"/>
      <w:r w:rsidRPr="00C673C9">
        <w:t>Ujednání o jedné spoluúčasti a limitace maximální spoluúčasti</w:t>
      </w:r>
      <w:bookmarkEnd w:id="10"/>
    </w:p>
    <w:p w14:paraId="0576742F" w14:textId="77777777" w:rsidR="006241F6" w:rsidRPr="00473F42" w:rsidRDefault="006241F6" w:rsidP="00CA4669">
      <w:pPr>
        <w:pStyle w:val="TableTextEV"/>
      </w:pPr>
      <w:r w:rsidRPr="00473F42">
        <w:t>V případě pojistné události vzniklé současně z téže příčiny na více pojištěných věcech v jednom místě pojištění se od celkové výše pojistného plnění z jedné pojistné události odečítá pouze ta spoluúčast, která je nejvyšší ze všech spoluúčastí sjednaných (vypočtených) pro každou pojištěnou věc postiženou takovou pojistnou událostí. To neplatí, je-li pro oprávněnou osobu výhodnější odečtení spoluúčastí sjednaných pro jednotlivé pojištěné věci postižené pojistnou událostí samostatně. Maximální výše spoluúčasti pojištěného na součtu plnění ze všech položek pojištění činí pro škodní událost z jedné příčiny 200 000 Kč.</w:t>
      </w:r>
    </w:p>
    <w:p w14:paraId="2C53DBE2" w14:textId="77777777" w:rsidR="006241F6" w:rsidRPr="00C673C9" w:rsidRDefault="006241F6" w:rsidP="00E7085D">
      <w:pPr>
        <w:pStyle w:val="Nadpis3"/>
      </w:pPr>
      <w:bookmarkStart w:id="11" w:name="_Toc505116556"/>
      <w:r w:rsidRPr="00C673C9">
        <w:t>Náklady na dokumentaci a likvidaci pojistné události</w:t>
      </w:r>
      <w:bookmarkEnd w:id="11"/>
    </w:p>
    <w:p w14:paraId="28273868" w14:textId="77777777" w:rsidR="006241F6" w:rsidRPr="00473F42" w:rsidRDefault="006241F6" w:rsidP="00A91E5A">
      <w:pPr>
        <w:pStyle w:val="TableTextEV"/>
      </w:pPr>
      <w:r w:rsidRPr="00473F42">
        <w:t>Předmětem pojištění jsou přiměřené a doložitelné náklady a vícenáklady, které pojištěný vynaloží na přípravu podkladů, dokladování, ověřování nebo zdokumentování pojistné události, na kterou se vztahuje tato pojistná smlouva. Takovéto náklady zahrnují mimo jiné také další náklady na externí účetní, poradce, konzultanty a soudní znalce. Toto pojištění se sjednává se samostatným limitem plnění (první riziko) ve výši 500 000 Kč.</w:t>
      </w:r>
    </w:p>
    <w:p w14:paraId="03ABB651" w14:textId="77777777" w:rsidR="006241F6" w:rsidRPr="00C673C9" w:rsidRDefault="006241F6" w:rsidP="00E7085D">
      <w:pPr>
        <w:pStyle w:val="Nadpis3"/>
      </w:pPr>
      <w:bookmarkStart w:id="12" w:name="_Toc505116557"/>
      <w:r w:rsidRPr="00C673C9">
        <w:t>Obnovení limitů</w:t>
      </w:r>
      <w:bookmarkEnd w:id="12"/>
    </w:p>
    <w:p w14:paraId="6D7DEE4E" w14:textId="77777777" w:rsidR="006241F6" w:rsidRPr="00473F42" w:rsidRDefault="006241F6" w:rsidP="00A91E5A">
      <w:pPr>
        <w:pStyle w:val="TableTextEV"/>
      </w:pPr>
      <w:r w:rsidRPr="00437763">
        <w:t xml:space="preserve">Bylo-li během doby trvání pojištění v důsledku vzniku pojistné události čerpáno z limitu pojistného plnění, obnoví pojistník bezodkladně na základě dohody s pojistitelem pro zbytek doby trvání pojištění limit pojistného plnění do původní výše za dodatečné pojistné. </w:t>
      </w:r>
    </w:p>
    <w:p w14:paraId="132C1EF9" w14:textId="77777777" w:rsidR="006241F6" w:rsidRPr="00C673C9" w:rsidRDefault="006241F6" w:rsidP="00E7085D">
      <w:pPr>
        <w:pStyle w:val="Nadpis3"/>
      </w:pPr>
      <w:bookmarkStart w:id="13" w:name="_Toc505116558"/>
      <w:r w:rsidRPr="00C673C9">
        <w:t>Újma v </w:t>
      </w:r>
      <w:r w:rsidRPr="00437763">
        <w:t>souvislosti</w:t>
      </w:r>
      <w:r w:rsidRPr="00C673C9">
        <w:t xml:space="preserve"> s vlastnictvím nebo provozem motorových vozidel</w:t>
      </w:r>
      <w:bookmarkEnd w:id="13"/>
    </w:p>
    <w:p w14:paraId="1EACFB05" w14:textId="77777777" w:rsidR="006241F6" w:rsidRPr="00473F42" w:rsidRDefault="006241F6" w:rsidP="00A91E5A">
      <w:pPr>
        <w:pStyle w:val="TableTextEV"/>
      </w:pPr>
      <w:r w:rsidRPr="00473F42">
        <w:t>Odchylně od příslušných ustanovení pojistných podmínek se pojištění vztahuje i na povinnost pojištěného nahradit újmu způsobenou v souvislosti s vlastnictvím nebo provozem motorových vozidel sloužících jako stavební a montážní stroje pojištěné touto pojistnou smlouvou. Pojištění se však nevztahuje na povinnost pojištěného nahradit újmu, pokud v souvislosti se škodnou událostí bylo nebo mohlo být uplatněno právo na plnění z pojištění odpovědnosti za újmu (škodu) sjednaného ve prospěch pojištěného jinou pojistnou smlouvou pro povinné pojištění odpovědnosti za újmu způsobenou provozem vozidla.</w:t>
      </w:r>
    </w:p>
    <w:p w14:paraId="6D26AA02" w14:textId="77777777" w:rsidR="006241F6" w:rsidRPr="00890263" w:rsidRDefault="006241F6" w:rsidP="006241F6"/>
    <w:p w14:paraId="39F81FAA" w14:textId="25CB9DB9" w:rsidR="003950E6" w:rsidRPr="00D64740" w:rsidRDefault="003950E6" w:rsidP="00D64740"/>
    <w:sectPr w:rsidR="003950E6" w:rsidRPr="00D64740" w:rsidSect="009A68C0">
      <w:headerReference w:type="default" r:id="rId11"/>
      <w:pgSz w:w="11906" w:h="16838" w:code="9"/>
      <w:pgMar w:top="1417" w:right="1417" w:bottom="1417" w:left="1417" w:header="709" w:footer="709" w:gutter="0"/>
      <w:pgNumType w:fmt="upperRoman"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AD4B5" w14:textId="77777777" w:rsidR="00EA0468" w:rsidRDefault="00EA0468">
      <w:r>
        <w:separator/>
      </w:r>
    </w:p>
    <w:p w14:paraId="411EF354" w14:textId="77777777" w:rsidR="00EA0468" w:rsidRDefault="00EA0468"/>
    <w:p w14:paraId="5B69B39B" w14:textId="77777777" w:rsidR="00EA0468" w:rsidRDefault="00EA0468"/>
  </w:endnote>
  <w:endnote w:type="continuationSeparator" w:id="0">
    <w:p w14:paraId="325803CB" w14:textId="77777777" w:rsidR="00EA0468" w:rsidRDefault="00EA0468">
      <w:r>
        <w:continuationSeparator/>
      </w:r>
    </w:p>
    <w:p w14:paraId="75963E3D" w14:textId="77777777" w:rsidR="00EA0468" w:rsidRDefault="00EA0468"/>
    <w:p w14:paraId="1FDE980B" w14:textId="77777777" w:rsidR="00EA0468" w:rsidRDefault="00EA0468"/>
  </w:endnote>
  <w:endnote w:type="continuationNotice" w:id="1">
    <w:p w14:paraId="5996266E" w14:textId="77777777" w:rsidR="00EA0468" w:rsidRDefault="00EA046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NeueLTPro-M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8FB21" w14:textId="77777777" w:rsidR="00EA0468" w:rsidRDefault="00EA0468">
      <w:r>
        <w:separator/>
      </w:r>
    </w:p>
    <w:p w14:paraId="7016DCA1" w14:textId="77777777" w:rsidR="00EA0468" w:rsidRDefault="00EA0468"/>
    <w:p w14:paraId="381AFCCE" w14:textId="77777777" w:rsidR="00EA0468" w:rsidRDefault="00EA0468"/>
  </w:footnote>
  <w:footnote w:type="continuationSeparator" w:id="0">
    <w:p w14:paraId="76325FE5" w14:textId="77777777" w:rsidR="00EA0468" w:rsidRDefault="00EA0468">
      <w:r>
        <w:continuationSeparator/>
      </w:r>
    </w:p>
    <w:p w14:paraId="0595C21D" w14:textId="77777777" w:rsidR="00EA0468" w:rsidRDefault="00EA0468"/>
    <w:p w14:paraId="5D4497FE" w14:textId="77777777" w:rsidR="00EA0468" w:rsidRDefault="00EA0468"/>
  </w:footnote>
  <w:footnote w:type="continuationNotice" w:id="1">
    <w:p w14:paraId="14D241FE" w14:textId="77777777" w:rsidR="00EA0468" w:rsidRDefault="00EA0468">
      <w:pPr>
        <w:spacing w:before="0" w:line="240" w:lineRule="auto"/>
      </w:pPr>
    </w:p>
  </w:footnote>
  <w:footnote w:id="2">
    <w:p w14:paraId="7F54FB98" w14:textId="77777777" w:rsidR="006241F6" w:rsidRPr="00473F42" w:rsidRDefault="006241F6" w:rsidP="006241F6">
      <w:pPr>
        <w:pStyle w:val="Textpoznpodarou"/>
        <w:rPr>
          <w:rFonts w:ascii="Times New Roman" w:hAnsi="Times New Roman" w:cs="Times New Roman"/>
          <w:sz w:val="20"/>
        </w:rPr>
      </w:pPr>
      <w:r w:rsidRPr="00473F42">
        <w:rPr>
          <w:rStyle w:val="Znakapoznpodarou"/>
          <w:rFonts w:ascii="Times New Roman" w:hAnsi="Times New Roman" w:cs="Times New Roman"/>
          <w:sz w:val="20"/>
        </w:rPr>
        <w:footnoteRef/>
      </w:r>
      <w:r w:rsidRPr="00473F42">
        <w:rPr>
          <w:rFonts w:ascii="Times New Roman" w:hAnsi="Times New Roman" w:cs="Times New Roman"/>
          <w:sz w:val="20"/>
        </w:rPr>
        <w:t xml:space="preserve"> Pro vyloučení všech pochybností je označení „</w:t>
      </w:r>
      <w:r w:rsidRPr="00473F42">
        <w:rPr>
          <w:rFonts w:ascii="Times New Roman" w:hAnsi="Times New Roman" w:cs="Times New Roman"/>
          <w:i/>
          <w:sz w:val="20"/>
        </w:rPr>
        <w:t>zkušební provoz</w:t>
      </w:r>
      <w:r w:rsidRPr="00473F42">
        <w:rPr>
          <w:rFonts w:ascii="Times New Roman" w:hAnsi="Times New Roman" w:cs="Times New Roman"/>
          <w:sz w:val="20"/>
        </w:rPr>
        <w:t>“ v celém Formuláři Pojistné podmínky užíváno ve smyslu stavebně-montážního pojištění, nikoliv ve smyslu zkušebního provozu dle ust. § 124 zákona č. 183/2006 Sb., stavební zákon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3F4E" w14:textId="47534F31" w:rsidR="006E1C7C" w:rsidRDefault="006E1C7C" w:rsidP="009A68C0">
    <w:pPr>
      <w:spacing w:before="0"/>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41" type="#_x0000_t75" style="width:145.8pt;height:148.2pt" o:bullet="t">
        <v:imagedata r:id="rId1" o:title="logo"/>
      </v:shape>
    </w:pict>
  </w:numPicBullet>
  <w:numPicBullet w:numPicBulletId="1">
    <w:pict>
      <v:shape id="_x0000_i1942" type="#_x0000_t75" style="width:394.2pt;height:394.2pt" o:bullet="t">
        <v:imagedata r:id="rId2" o:title="vlnka"/>
      </v:shape>
    </w:pict>
  </w:numPicBullet>
  <w:numPicBullet w:numPicBulletId="2">
    <w:pict>
      <v:shape id="_x0000_i1943" type="#_x0000_t75" style="width:394.2pt;height:394.2pt" o:bullet="t">
        <v:imagedata r:id="rId3" o:title="vlnka"/>
      </v:shape>
    </w:pict>
  </w:numPicBullet>
  <w:numPicBullet w:numPicBulletId="3">
    <w:pict>
      <v:shape id="_x0000_i1944" type="#_x0000_t75" style="width:145.8pt;height:148.2pt" o:bullet="t">
        <v:imagedata r:id="rId4" o:title="vlnka2"/>
      </v:shape>
    </w:pict>
  </w:numPicBullet>
  <w:abstractNum w:abstractNumId="0" w15:restartNumberingAfterBreak="0">
    <w:nsid w:val="02B03A90"/>
    <w:multiLevelType w:val="multilevel"/>
    <w:tmpl w:val="537C273E"/>
    <w:styleLink w:val="TOCNumberingEV"/>
    <w:lvl w:ilvl="0">
      <w:start w:val="1"/>
      <w:numFmt w:val="decimal"/>
      <w:pStyle w:val="Obsah1"/>
      <w:lvlText w:val="%1"/>
      <w:lvlJc w:val="left"/>
      <w:pPr>
        <w:ind w:left="360" w:hanging="360"/>
      </w:pPr>
      <w:rPr>
        <w:rFonts w:ascii="Arial" w:hAnsi="Arial" w:hint="default"/>
        <w:b/>
        <w:i w:val="0"/>
        <w:color w:val="8A6552" w:themeColor="accent3"/>
        <w:sz w:val="24"/>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1A6254"/>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DE824FB"/>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2241A33"/>
    <w:multiLevelType w:val="hybridMultilevel"/>
    <w:tmpl w:val="BD482CE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7B22BCE"/>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9714A91"/>
    <w:multiLevelType w:val="multilevel"/>
    <w:tmpl w:val="5F083E7E"/>
    <w:name w:val="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0"/>
        </w:tabs>
        <w:ind w:left="0" w:firstLine="0"/>
      </w:pPr>
      <w:rPr>
        <w:b w:val="0"/>
        <w:i w:val="0"/>
        <w:caps w:val="0"/>
        <w:smallCaps w:val="0"/>
        <w:vanish/>
        <w:u w:val="none"/>
      </w:r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6" w15:restartNumberingAfterBreak="0">
    <w:nsid w:val="1B4424C3"/>
    <w:multiLevelType w:val="hybridMultilevel"/>
    <w:tmpl w:val="EC64725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7" w15:restartNumberingAfterBreak="0">
    <w:nsid w:val="1F2E5F23"/>
    <w:multiLevelType w:val="multilevel"/>
    <w:tmpl w:val="C9AEB092"/>
    <w:name w:val="SApp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upperLetter"/>
      <w:lvlText w:val="Appendix: %5."/>
      <w:lvlJc w:val="left"/>
      <w:pPr>
        <w:tabs>
          <w:tab w:val="num" w:pos="0"/>
        </w:tabs>
        <w:ind w:left="0" w:firstLine="0"/>
      </w:p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8" w15:restartNumberingAfterBreak="0">
    <w:nsid w:val="20367C8F"/>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E93226"/>
    <w:multiLevelType w:val="multilevel"/>
    <w:tmpl w:val="3B2EB20E"/>
    <w:name w:val="HeadingList"/>
    <w:lvl w:ilvl="0">
      <w:start w:val="1"/>
      <w:numFmt w:val="none"/>
      <w:suff w:val="nothing"/>
      <w:lvlText w:val=""/>
      <w:lvlJc w:val="left"/>
      <w:pPr>
        <w:tabs>
          <w:tab w:val="num" w:pos="0"/>
        </w:tabs>
        <w:ind w:left="0" w:firstLine="0"/>
      </w:pPr>
    </w:lvl>
    <w:lvl w:ilvl="1">
      <w:start w:val="1"/>
      <w:numFmt w:val="none"/>
      <w:pStyle w:val="AppendixHeading2"/>
      <w:suff w:val="nothing"/>
      <w:lvlText w:val=""/>
      <w:lvlJc w:val="left"/>
      <w:pPr>
        <w:tabs>
          <w:tab w:val="num" w:pos="0"/>
        </w:tabs>
        <w:ind w:left="0" w:firstLine="0"/>
      </w:pPr>
    </w:lvl>
    <w:lvl w:ilvl="2">
      <w:start w:val="1"/>
      <w:numFmt w:val="none"/>
      <w:pStyle w:val="AppendixHeading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A57588"/>
    <w:multiLevelType w:val="multilevel"/>
    <w:tmpl w:val="ADD08444"/>
    <w:numStyleLink w:val="EurovalleyHeadingNumbered"/>
  </w:abstractNum>
  <w:abstractNum w:abstractNumId="11" w15:restartNumberingAfterBreak="0">
    <w:nsid w:val="2467475C"/>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48A026A"/>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4CF5FDF"/>
    <w:multiLevelType w:val="multilevel"/>
    <w:tmpl w:val="AD88BE98"/>
    <w:lvl w:ilvl="0">
      <w:start w:val="1"/>
      <w:numFmt w:val="decimal"/>
      <w:lvlText w:val="%1."/>
      <w:lvlJc w:val="left"/>
      <w:pPr>
        <w:ind w:left="360" w:hanging="360"/>
      </w:pPr>
      <w:rPr>
        <w:rFonts w:ascii="Arial" w:hAnsi="Arial" w:hint="default"/>
        <w:b/>
        <w:i w:val="0"/>
        <w:color w:val="ED1C24" w:themeColor="accent1"/>
        <w:sz w:val="20"/>
      </w:rPr>
    </w:lvl>
    <w:lvl w:ilvl="1">
      <w:start w:val="1"/>
      <w:numFmt w:val="lowerLetter"/>
      <w:lvlText w:val="%2."/>
      <w:lvlJc w:val="left"/>
      <w:pPr>
        <w:ind w:left="1080" w:hanging="360"/>
      </w:pPr>
      <w:rPr>
        <w:rFonts w:ascii="Arial" w:hAnsi="Arial" w:hint="default"/>
        <w:b/>
        <w:i w:val="0"/>
        <w:color w:val="ED1C24" w:themeColor="accent1"/>
        <w:sz w:val="20"/>
      </w:rPr>
    </w:lvl>
    <w:lvl w:ilvl="2">
      <w:start w:val="1"/>
      <w:numFmt w:val="lowerRoman"/>
      <w:lvlText w:val="%3."/>
      <w:lvlJc w:val="right"/>
      <w:pPr>
        <w:ind w:left="1800" w:hanging="180"/>
      </w:pPr>
      <w:rPr>
        <w:rFonts w:ascii="Arial" w:hAnsi="Arial" w:hint="default"/>
        <w:b/>
        <w:i w:val="0"/>
        <w:color w:val="ED1C24" w:themeColor="accent1"/>
        <w:sz w:val="20"/>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2B422CA2"/>
    <w:multiLevelType w:val="multilevel"/>
    <w:tmpl w:val="8320C020"/>
    <w:name w:val="App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upperLetter"/>
      <w:suff w:val="nothing"/>
      <w:lvlText w:val="Appendix: %5."/>
      <w:lvlJc w:val="left"/>
      <w:pPr>
        <w:tabs>
          <w:tab w:val="num" w:pos="0"/>
        </w:tabs>
        <w:ind w:left="0" w:firstLine="0"/>
      </w:pPr>
      <w:rPr>
        <w:b w:val="0"/>
        <w:i w:val="0"/>
        <w:caps w:val="0"/>
        <w:smallCaps w:val="0"/>
        <w:vanish/>
        <w:u w:val="none"/>
      </w:r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15" w15:restartNumberingAfterBreak="0">
    <w:nsid w:val="2BE534F6"/>
    <w:multiLevelType w:val="hybridMultilevel"/>
    <w:tmpl w:val="07688D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2C445536"/>
    <w:multiLevelType w:val="multilevel"/>
    <w:tmpl w:val="EA36D7DE"/>
    <w:lvl w:ilvl="0">
      <w:start w:val="1"/>
      <w:numFmt w:val="decimal"/>
      <w:lvlText w:val="%1."/>
      <w:lvlJc w:val="left"/>
      <w:pPr>
        <w:ind w:left="360" w:hanging="360"/>
      </w:pPr>
      <w:rPr>
        <w:rFonts w:ascii="Arial" w:hAnsi="Arial" w:hint="default"/>
        <w:b/>
        <w:i w:val="0"/>
        <w:color w:val="8A6552" w:themeColor="accent3"/>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CFA237A"/>
    <w:multiLevelType w:val="hybridMultilevel"/>
    <w:tmpl w:val="A970A1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863B94"/>
    <w:multiLevelType w:val="multilevel"/>
    <w:tmpl w:val="ADD08444"/>
    <w:styleLink w:val="EurovalleyHeadingNumbered"/>
    <w:lvl w:ilvl="0">
      <w:start w:val="1"/>
      <w:numFmt w:val="decimal"/>
      <w:pStyle w:val="SectionStartEV"/>
      <w:lvlText w:val="%1"/>
      <w:lvlJc w:val="left"/>
      <w:pPr>
        <w:ind w:left="227" w:hanging="227"/>
      </w:pPr>
      <w:rPr>
        <w:rFonts w:ascii="Arial" w:hAnsi="Arial" w:hint="default"/>
        <w:b w:val="0"/>
        <w:i w:val="0"/>
        <w:color w:val="8A6552" w:themeColor="accent3"/>
        <w:sz w:val="72"/>
        <w:u w:val="none" w:color="ED1C24" w:themeColor="accent1"/>
      </w:rPr>
    </w:lvl>
    <w:lvl w:ilvl="1">
      <w:start w:val="1"/>
      <w:numFmt w:val="decimal"/>
      <w:pStyle w:val="Heading2NumberedEV"/>
      <w:lvlText w:val="%1.%2"/>
      <w:lvlJc w:val="left"/>
      <w:pPr>
        <w:ind w:left="227" w:hanging="227"/>
      </w:pPr>
      <w:rPr>
        <w:rFonts w:ascii="Arial" w:hAnsi="Arial" w:hint="default"/>
        <w:b/>
        <w:i w:val="0"/>
        <w:color w:val="91212A" w:themeColor="accent2"/>
        <w:sz w:val="28"/>
      </w:rPr>
    </w:lvl>
    <w:lvl w:ilvl="2">
      <w:start w:val="1"/>
      <w:numFmt w:val="decimal"/>
      <w:pStyle w:val="Heading3NumberedEV"/>
      <w:lvlText w:val="%1.%2.%3"/>
      <w:lvlJc w:val="left"/>
      <w:pPr>
        <w:tabs>
          <w:tab w:val="num" w:pos="1134"/>
        </w:tabs>
        <w:ind w:left="0" w:firstLine="0"/>
      </w:pPr>
      <w:rPr>
        <w:rFonts w:ascii="Arial" w:hAnsi="Arial" w:hint="default"/>
        <w:b/>
        <w:bCs w:val="0"/>
        <w:i w:val="0"/>
        <w:iCs w:val="0"/>
        <w:caps w:val="0"/>
        <w:smallCaps w:val="0"/>
        <w:strike w:val="0"/>
        <w:dstrike w:val="0"/>
        <w:outline w:val="0"/>
        <w:shadow w:val="0"/>
        <w:emboss w:val="0"/>
        <w:imprint w:val="0"/>
        <w:snapToGrid w:val="0"/>
        <w:vanish w:val="0"/>
        <w:color w:val="auto"/>
        <w:spacing w:val="0"/>
        <w:w w:val="0"/>
        <w:kern w:val="0"/>
        <w:position w:val="0"/>
        <w:sz w:val="28"/>
        <w:szCs w:val="0"/>
        <w:u w:val="none" w:color="000000"/>
        <w:effect w:val="none"/>
        <w:vertAlign w:val="baseline"/>
        <w:em w:val="none"/>
        <w14:ligatures w14:val="none"/>
        <w14:numForm w14:val="default"/>
        <w14:numSpacing w14:val="default"/>
        <w14:stylisticSets/>
        <w14:cntxtAlts w14:val="0"/>
      </w:rPr>
    </w:lvl>
    <w:lvl w:ilvl="3">
      <w:start w:val="1"/>
      <w:numFmt w:val="decimal"/>
      <w:pStyle w:val="Heading4NumberedEV"/>
      <w:lvlText w:val="%1.%2.%3.%4"/>
      <w:lvlJc w:val="left"/>
      <w:pPr>
        <w:tabs>
          <w:tab w:val="num" w:pos="1134"/>
        </w:tabs>
        <w:ind w:left="0" w:firstLine="0"/>
      </w:pPr>
      <w:rPr>
        <w:rFonts w:ascii="Arial" w:hAnsi="Arial" w:hint="default"/>
        <w:b/>
        <w:i/>
        <w:sz w:val="24"/>
      </w:rPr>
    </w:lvl>
    <w:lvl w:ilvl="4">
      <w:start w:val="1"/>
      <w:numFmt w:val="lowerLetter"/>
      <w:lvlText w:val="(%5)"/>
      <w:lvlJc w:val="left"/>
      <w:pPr>
        <w:ind w:left="227" w:hanging="227"/>
      </w:pPr>
      <w:rPr>
        <w:rFonts w:hint="default"/>
      </w:rPr>
    </w:lvl>
    <w:lvl w:ilvl="5">
      <w:start w:val="1"/>
      <w:numFmt w:val="lowerRoman"/>
      <w:lvlText w:val="(%6)"/>
      <w:lvlJc w:val="left"/>
      <w:pPr>
        <w:ind w:left="227" w:hanging="227"/>
      </w:pPr>
      <w:rPr>
        <w:rFonts w:hint="default"/>
      </w:rPr>
    </w:lvl>
    <w:lvl w:ilvl="6">
      <w:start w:val="1"/>
      <w:numFmt w:val="decimal"/>
      <w:lvlText w:val="%7."/>
      <w:lvlJc w:val="left"/>
      <w:pPr>
        <w:ind w:left="227" w:hanging="227"/>
      </w:pPr>
      <w:rPr>
        <w:rFonts w:hint="default"/>
      </w:rPr>
    </w:lvl>
    <w:lvl w:ilvl="7">
      <w:start w:val="1"/>
      <w:numFmt w:val="lowerLetter"/>
      <w:lvlText w:val="%8."/>
      <w:lvlJc w:val="left"/>
      <w:pPr>
        <w:ind w:left="227" w:hanging="227"/>
      </w:pPr>
      <w:rPr>
        <w:rFonts w:hint="default"/>
      </w:rPr>
    </w:lvl>
    <w:lvl w:ilvl="8">
      <w:start w:val="1"/>
      <w:numFmt w:val="lowerRoman"/>
      <w:lvlText w:val="%9."/>
      <w:lvlJc w:val="left"/>
      <w:pPr>
        <w:ind w:left="227" w:hanging="227"/>
      </w:pPr>
      <w:rPr>
        <w:rFonts w:hint="default"/>
      </w:rPr>
    </w:lvl>
  </w:abstractNum>
  <w:abstractNum w:abstractNumId="19" w15:restartNumberingAfterBreak="0">
    <w:nsid w:val="2D875CC6"/>
    <w:multiLevelType w:val="multilevel"/>
    <w:tmpl w:val="34806D36"/>
    <w:numStyleLink w:val="slovanseznamEVvcerovov"/>
  </w:abstractNum>
  <w:abstractNum w:abstractNumId="20" w15:restartNumberingAfterBreak="0">
    <w:nsid w:val="323851A5"/>
    <w:multiLevelType w:val="multilevel"/>
    <w:tmpl w:val="05A01B6A"/>
    <w:name w:val="SREP_HEAD1"/>
    <w:lvl w:ilvl="0">
      <w:start w:val="1"/>
      <w:numFmt w:val="decimal"/>
      <w:lvlRestart w:val="0"/>
      <w:lvlText w:val="%1."/>
      <w:lvlJc w:val="left"/>
      <w:pPr>
        <w:tabs>
          <w:tab w:val="num" w:pos="0"/>
        </w:tabs>
        <w:ind w:left="0" w:hanging="600"/>
      </w:pPr>
      <w:rPr>
        <w:rFonts w:ascii="Arial" w:hAnsi="Arial" w:cs="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2632F35"/>
    <w:multiLevelType w:val="multilevel"/>
    <w:tmpl w:val="52F8763C"/>
    <w:name w:val="TableBulletLis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pStyle w:val="TableBullet1"/>
      <w:lvlText w:val="•"/>
      <w:lvlJc w:val="left"/>
      <w:pPr>
        <w:tabs>
          <w:tab w:val="num" w:pos="360"/>
        </w:tabs>
        <w:ind w:left="360" w:hanging="360"/>
      </w:pPr>
      <w:rPr>
        <w:rFonts w:ascii="Arial" w:hAnsi="Arial" w:cs="Arial"/>
      </w:rPr>
    </w:lvl>
    <w:lvl w:ilvl="5">
      <w:start w:val="1"/>
      <w:numFmt w:val="lowerRoman"/>
      <w:pStyle w:val="TableBullet2"/>
      <w:lvlText w:val="─"/>
      <w:lvlJc w:val="left"/>
      <w:pPr>
        <w:tabs>
          <w:tab w:val="num" w:pos="720"/>
        </w:tabs>
        <w:ind w:left="720" w:hanging="360"/>
      </w:pPr>
      <w:rPr>
        <w:rFonts w:ascii="Arial" w:hAnsi="Arial" w:cs="Arial"/>
      </w:rPr>
    </w:lvl>
    <w:lvl w:ilvl="6">
      <w:start w:val="1"/>
      <w:numFmt w:val="decimal"/>
      <w:pStyle w:val="TableBullet3"/>
      <w:lvlText w:val="−"/>
      <w:lvlJc w:val="left"/>
      <w:pPr>
        <w:tabs>
          <w:tab w:val="num" w:pos="1080"/>
        </w:tabs>
        <w:ind w:left="1080" w:hanging="360"/>
      </w:pPr>
      <w:rPr>
        <w:rFonts w:ascii="Arial" w:hAnsi="Arial" w:cs="Arial"/>
      </w:rPr>
    </w:lvl>
    <w:lvl w:ilvl="7">
      <w:start w:val="1"/>
      <w:numFmt w:val="lowerLetter"/>
      <w:pStyle w:val="TableBullet4"/>
      <w:lvlText w:val="−"/>
      <w:lvlJc w:val="left"/>
      <w:pPr>
        <w:tabs>
          <w:tab w:val="num" w:pos="1440"/>
        </w:tabs>
        <w:ind w:left="1440" w:hanging="360"/>
      </w:pPr>
      <w:rPr>
        <w:rFonts w:ascii="Arial" w:hAnsi="Arial" w:cs="Arial"/>
      </w:rPr>
    </w:lvl>
    <w:lvl w:ilvl="8">
      <w:start w:val="1"/>
      <w:numFmt w:val="lowerRoman"/>
      <w:lvlText w:val="%9."/>
      <w:lvlJc w:val="left"/>
      <w:pPr>
        <w:tabs>
          <w:tab w:val="num" w:pos="3240"/>
        </w:tabs>
        <w:ind w:left="3240" w:hanging="360"/>
      </w:pPr>
    </w:lvl>
  </w:abstractNum>
  <w:abstractNum w:abstractNumId="22" w15:restartNumberingAfterBreak="0">
    <w:nsid w:val="38920412"/>
    <w:multiLevelType w:val="hybridMultilevel"/>
    <w:tmpl w:val="F57AE02C"/>
    <w:lvl w:ilvl="0" w:tplc="9F4243F8">
      <w:start w:val="1"/>
      <w:numFmt w:val="bullet"/>
      <w:pStyle w:val="Odrka-ernpuntk"/>
      <w:lvlText w:val=""/>
      <w:lvlJc w:val="left"/>
      <w:pPr>
        <w:ind w:left="720" w:hanging="360"/>
      </w:pPr>
      <w:rPr>
        <w:rFonts w:ascii="Symbol" w:hAnsi="Symbol" w:hint="default"/>
        <w:color w:val="000000" w:themeColor="text1"/>
        <w:sz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3A1A4798"/>
    <w:multiLevelType w:val="hybridMultilevel"/>
    <w:tmpl w:val="89D4141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3BC94525"/>
    <w:multiLevelType w:val="multilevel"/>
    <w:tmpl w:val="537C273E"/>
    <w:numStyleLink w:val="TOCNumberingEV"/>
  </w:abstractNum>
  <w:abstractNum w:abstractNumId="25" w15:restartNumberingAfterBreak="0">
    <w:nsid w:val="3DF77FA7"/>
    <w:multiLevelType w:val="multilevel"/>
    <w:tmpl w:val="34806D36"/>
    <w:numStyleLink w:val="slovanseznamEVvcerovov"/>
  </w:abstractNum>
  <w:abstractNum w:abstractNumId="26" w15:restartNumberingAfterBreak="0">
    <w:nsid w:val="422A0216"/>
    <w:multiLevelType w:val="multilevel"/>
    <w:tmpl w:val="C53E7346"/>
    <w:name w:val="BulletLis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
      <w:lvlJc w:val="left"/>
      <w:pPr>
        <w:tabs>
          <w:tab w:val="num" w:pos="360"/>
        </w:tabs>
        <w:ind w:left="360" w:hanging="360"/>
      </w:pPr>
      <w:rPr>
        <w:rFonts w:ascii="Arial" w:hAnsi="Arial" w:cs="Arial"/>
      </w:rPr>
    </w:lvl>
    <w:lvl w:ilvl="5">
      <w:start w:val="1"/>
      <w:numFmt w:val="lowerRoman"/>
      <w:lvlText w:val="─"/>
      <w:lvlJc w:val="left"/>
      <w:pPr>
        <w:tabs>
          <w:tab w:val="num" w:pos="720"/>
        </w:tabs>
        <w:ind w:left="720" w:hanging="360"/>
      </w:pPr>
      <w:rPr>
        <w:rFonts w:ascii="Arial" w:hAnsi="Arial" w:cs="Arial"/>
      </w:rPr>
    </w:lvl>
    <w:lvl w:ilvl="6">
      <w:start w:val="1"/>
      <w:numFmt w:val="decimal"/>
      <w:pStyle w:val="Seznamsodrkami3"/>
      <w:lvlText w:val="−"/>
      <w:lvlJc w:val="left"/>
      <w:pPr>
        <w:tabs>
          <w:tab w:val="num" w:pos="1080"/>
        </w:tabs>
        <w:ind w:left="1080" w:hanging="360"/>
      </w:pPr>
      <w:rPr>
        <w:rFonts w:ascii="Arial" w:hAnsi="Arial" w:cs="Arial"/>
      </w:rPr>
    </w:lvl>
    <w:lvl w:ilvl="7">
      <w:start w:val="1"/>
      <w:numFmt w:val="lowerLetter"/>
      <w:pStyle w:val="Seznamsodrkami4"/>
      <w:lvlText w:val="−"/>
      <w:lvlJc w:val="left"/>
      <w:pPr>
        <w:tabs>
          <w:tab w:val="num" w:pos="1440"/>
        </w:tabs>
        <w:ind w:left="1440" w:hanging="360"/>
      </w:pPr>
      <w:rPr>
        <w:rFonts w:ascii="Arial" w:hAnsi="Arial" w:cs="Arial"/>
      </w:rPr>
    </w:lvl>
    <w:lvl w:ilvl="8">
      <w:start w:val="1"/>
      <w:numFmt w:val="lowerRoman"/>
      <w:lvlText w:val="%9."/>
      <w:lvlJc w:val="left"/>
      <w:pPr>
        <w:tabs>
          <w:tab w:val="num" w:pos="3240"/>
        </w:tabs>
        <w:ind w:left="3240" w:hanging="360"/>
      </w:pPr>
    </w:lvl>
  </w:abstractNum>
  <w:abstractNum w:abstractNumId="27" w15:restartNumberingAfterBreak="0">
    <w:nsid w:val="431D722B"/>
    <w:multiLevelType w:val="hybridMultilevel"/>
    <w:tmpl w:val="D5803968"/>
    <w:lvl w:ilvl="0" w:tplc="B030C902">
      <w:start w:val="1"/>
      <w:numFmt w:val="bullet"/>
      <w:pStyle w:val="Obsah4"/>
      <w:lvlText w:val="−"/>
      <w:lvlJc w:val="left"/>
      <w:pPr>
        <w:tabs>
          <w:tab w:val="num" w:pos="1526"/>
        </w:tabs>
        <w:ind w:left="1526"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D468AD"/>
    <w:multiLevelType w:val="multilevel"/>
    <w:tmpl w:val="34806D36"/>
    <w:styleLink w:val="slovanseznamEVvcerovov"/>
    <w:lvl w:ilvl="0">
      <w:start w:val="1"/>
      <w:numFmt w:val="decimal"/>
      <w:pStyle w:val="slovanseznam"/>
      <w:lvlText w:val="%1."/>
      <w:lvlJc w:val="left"/>
      <w:pPr>
        <w:ind w:left="360" w:hanging="360"/>
      </w:pPr>
      <w:rPr>
        <w:rFonts w:ascii="Arial" w:hAnsi="Arial" w:hint="default"/>
        <w:b/>
        <w:i w:val="0"/>
        <w:color w:val="ED1C24" w:themeColor="accent1"/>
        <w:sz w:val="20"/>
      </w:rPr>
    </w:lvl>
    <w:lvl w:ilvl="1">
      <w:start w:val="1"/>
      <w:numFmt w:val="lowerLetter"/>
      <w:lvlText w:val="%2."/>
      <w:lvlJc w:val="left"/>
      <w:pPr>
        <w:ind w:left="1080" w:hanging="360"/>
      </w:pPr>
      <w:rPr>
        <w:rFonts w:ascii="Arial" w:hAnsi="Arial" w:hint="default"/>
        <w:b/>
        <w:i w:val="0"/>
        <w:color w:val="ED1C24" w:themeColor="accent1"/>
        <w:sz w:val="20"/>
      </w:rPr>
    </w:lvl>
    <w:lvl w:ilvl="2">
      <w:start w:val="1"/>
      <w:numFmt w:val="lowerRoman"/>
      <w:lvlText w:val="%3."/>
      <w:lvlJc w:val="right"/>
      <w:pPr>
        <w:ind w:left="1800" w:hanging="180"/>
      </w:pPr>
      <w:rPr>
        <w:rFonts w:ascii="Arial" w:hAnsi="Arial" w:hint="default"/>
        <w:b/>
        <w:i w:val="0"/>
        <w:color w:val="ED1C24" w:themeColor="accent1"/>
        <w:sz w:val="20"/>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9" w15:restartNumberingAfterBreak="0">
    <w:nsid w:val="48466DEB"/>
    <w:multiLevelType w:val="multilevel"/>
    <w:tmpl w:val="3CFAC6A0"/>
    <w:name w:val="Appendix"/>
    <w:lvl w:ilvl="0">
      <w:start w:val="1"/>
      <w:numFmt w:val="upperLetter"/>
      <w:lvlRestart w:val="0"/>
      <w:lvlText w:val="Appendix: %1."/>
      <w:lvlJc w:val="left"/>
      <w:pPr>
        <w:tabs>
          <w:tab w:val="num" w:pos="360"/>
        </w:tabs>
        <w:ind w:left="360" w:hanging="360"/>
      </w:pPr>
      <w:rPr>
        <w:rFonts w:ascii="Arial" w:hAnsi="Arial" w:cs="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A345F1A"/>
    <w:multiLevelType w:val="multilevel"/>
    <w:tmpl w:val="F9EEC172"/>
    <w:lvl w:ilvl="0">
      <w:start w:val="1"/>
      <w:numFmt w:val="bullet"/>
      <w:lvlText w:val=""/>
      <w:lvlPicBulletId w:val="0"/>
      <w:lvlJc w:val="left"/>
      <w:pPr>
        <w:ind w:left="717" w:hanging="360"/>
      </w:pPr>
      <w:rPr>
        <w:rFonts w:ascii="Wingdings" w:hAnsi="Wingdings"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A765671"/>
    <w:multiLevelType w:val="multilevel"/>
    <w:tmpl w:val="435438AC"/>
    <w:name w:val="NumHeadingLis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rFonts w:ascii="Arial" w:hAnsi="Arial" w:hint="default"/>
        <w:b/>
        <w:i w:val="0"/>
        <w:color w:val="8A6552" w:themeColor="accent3"/>
        <w:sz w:val="20"/>
      </w:rPr>
    </w:lvl>
    <w:lvl w:ilvl="6">
      <w:start w:val="1"/>
      <w:numFmt w:val="upperLetter"/>
      <w:lvlText w:val="%7."/>
      <w:lvlJc w:val="left"/>
      <w:pPr>
        <w:tabs>
          <w:tab w:val="num" w:pos="720"/>
        </w:tabs>
        <w:ind w:left="720" w:hanging="360"/>
      </w:pPr>
    </w:lvl>
    <w:lvl w:ilvl="7">
      <w:start w:val="1"/>
      <w:numFmt w:val="lowerRoman"/>
      <w:pStyle w:val="slovanseznam3"/>
      <w:lvlText w:val="%8."/>
      <w:lvlJc w:val="left"/>
      <w:pPr>
        <w:tabs>
          <w:tab w:val="num" w:pos="1080"/>
        </w:tabs>
        <w:ind w:left="1080" w:hanging="360"/>
      </w:pPr>
    </w:lvl>
    <w:lvl w:ilvl="8">
      <w:start w:val="1"/>
      <w:numFmt w:val="lowerLetter"/>
      <w:pStyle w:val="slovanseznam4"/>
      <w:lvlText w:val="%9."/>
      <w:lvlJc w:val="left"/>
      <w:pPr>
        <w:tabs>
          <w:tab w:val="num" w:pos="1440"/>
        </w:tabs>
        <w:ind w:left="1440" w:hanging="360"/>
      </w:pPr>
    </w:lvl>
  </w:abstractNum>
  <w:abstractNum w:abstractNumId="32" w15:restartNumberingAfterBreak="0">
    <w:nsid w:val="4CF51A12"/>
    <w:multiLevelType w:val="hybridMultilevel"/>
    <w:tmpl w:val="3A1CC4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539A12AB"/>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68A3EAC"/>
    <w:multiLevelType w:val="multilevel"/>
    <w:tmpl w:val="B5EEE0CC"/>
    <w:name w:val="SectionStart"/>
    <w:lvl w:ilvl="0">
      <w:start w:val="1"/>
      <w:numFmt w:val="decimal"/>
      <w:lvlRestart w:val="0"/>
      <w:lvlText w:val="%1"/>
      <w:lvlJc w:val="left"/>
      <w:pPr>
        <w:tabs>
          <w:tab w:val="num" w:pos="360"/>
        </w:tabs>
        <w:ind w:left="360" w:hanging="18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70F2430"/>
    <w:multiLevelType w:val="hybridMultilevel"/>
    <w:tmpl w:val="FB8A8C02"/>
    <w:name w:val="BulletList22"/>
    <w:lvl w:ilvl="0" w:tplc="9A985E00">
      <w:start w:val="1"/>
      <w:numFmt w:val="bullet"/>
      <w:pStyle w:val="Seznamsodrkami2"/>
      <w:lvlText w:val=""/>
      <w:lvlJc w:val="left"/>
      <w:pPr>
        <w:ind w:left="720" w:hanging="360"/>
      </w:pPr>
      <w:rPr>
        <w:rFonts w:ascii="Symbol" w:hAnsi="Symbol" w:hint="default"/>
        <w:b/>
        <w:i w:val="0"/>
        <w:color w:val="ED1C24" w:themeColor="accent1"/>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A9A063F"/>
    <w:multiLevelType w:val="multilevel"/>
    <w:tmpl w:val="7430B026"/>
    <w:name w:val="BulletList2"/>
    <w:lvl w:ilvl="0">
      <w:start w:val="1"/>
      <w:numFmt w:val="bullet"/>
      <w:pStyle w:val="Seznamsodrkami"/>
      <w:lvlText w:val=""/>
      <w:lvlPicBulletId w:val="0"/>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6134567"/>
    <w:multiLevelType w:val="multilevel"/>
    <w:tmpl w:val="34806D36"/>
    <w:numStyleLink w:val="slovanseznamEVvcerovov"/>
  </w:abstractNum>
  <w:abstractNum w:abstractNumId="38" w15:restartNumberingAfterBreak="0">
    <w:nsid w:val="682D53E2"/>
    <w:multiLevelType w:val="multilevel"/>
    <w:tmpl w:val="A36A8568"/>
    <w:name w:val="HeadingNumberDo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720"/>
        </w:tabs>
        <w:ind w:left="720" w:hanging="720"/>
      </w:p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39" w15:restartNumberingAfterBreak="0">
    <w:nsid w:val="6AF932A6"/>
    <w:multiLevelType w:val="singleLevel"/>
    <w:tmpl w:val="BFAA8006"/>
    <w:lvl w:ilvl="0">
      <w:start w:val="1"/>
      <w:numFmt w:val="upperLetter"/>
      <w:pStyle w:val="AppendixStart"/>
      <w:lvlText w:val="Appendix %1"/>
      <w:lvlJc w:val="left"/>
      <w:pPr>
        <w:tabs>
          <w:tab w:val="num" w:pos="0"/>
        </w:tabs>
        <w:ind w:left="0" w:firstLine="0"/>
      </w:pPr>
      <w:rPr>
        <w:rFonts w:hint="default"/>
      </w:rPr>
    </w:lvl>
  </w:abstractNum>
  <w:abstractNum w:abstractNumId="40" w15:restartNumberingAfterBreak="0">
    <w:nsid w:val="6C4323F0"/>
    <w:multiLevelType w:val="multilevel"/>
    <w:tmpl w:val="11CE61EE"/>
    <w:name w:val="S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0"/>
        </w:tabs>
        <w:ind w:left="0" w:firstLine="0"/>
      </w:p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41" w15:restartNumberingAfterBreak="0">
    <w:nsid w:val="6D0C248B"/>
    <w:multiLevelType w:val="multilevel"/>
    <w:tmpl w:val="31224370"/>
    <w:lvl w:ilvl="0">
      <w:start w:val="1"/>
      <w:numFmt w:val="upperLetter"/>
      <w:pStyle w:val="Obsah9"/>
      <w:lvlText w:val="Appendix %1:"/>
      <w:lvlJc w:val="left"/>
      <w:pPr>
        <w:tabs>
          <w:tab w:val="num" w:pos="360"/>
        </w:tabs>
        <w:ind w:left="360" w:hanging="360"/>
      </w:pPr>
      <w:rPr>
        <w:rFonts w:ascii="Arial" w:hAnsi="Arial"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6D9B262F"/>
    <w:multiLevelType w:val="hybridMultilevel"/>
    <w:tmpl w:val="D6D899D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1FA5B86"/>
    <w:multiLevelType w:val="multilevel"/>
    <w:tmpl w:val="0409001D"/>
    <w:name w:val="HeadingLi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092375"/>
    <w:multiLevelType w:val="multilevel"/>
    <w:tmpl w:val="71E860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642137F"/>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79A201F"/>
    <w:multiLevelType w:val="hybridMultilevel"/>
    <w:tmpl w:val="E96C8B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7" w15:restartNumberingAfterBreak="0">
    <w:nsid w:val="77A4273C"/>
    <w:multiLevelType w:val="multilevel"/>
    <w:tmpl w:val="8CB480D4"/>
    <w:lvl w:ilvl="0">
      <w:start w:val="1"/>
      <w:numFmt w:val="bullet"/>
      <w:lvlText w:val=""/>
      <w:lvlJc w:val="left"/>
      <w:pPr>
        <w:ind w:left="717" w:hanging="360"/>
      </w:pPr>
      <w:rPr>
        <w:rFonts w:ascii="Symbol" w:hAnsi="Symbol" w:hint="default"/>
        <w:b/>
        <w:i w:val="0"/>
        <w:color w:val="auto"/>
        <w:sz w:val="20"/>
      </w:rPr>
    </w:lvl>
    <w:lvl w:ilvl="1">
      <w:start w:val="1"/>
      <w:numFmt w:val="bullet"/>
      <w:lvlText w:val=""/>
      <w:lvlPicBulletId w:val="3"/>
      <w:lvlJc w:val="left"/>
      <w:pPr>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29552495">
    <w:abstractNumId w:val="39"/>
  </w:num>
  <w:num w:numId="2" w16cid:durableId="494221725">
    <w:abstractNumId w:val="41"/>
  </w:num>
  <w:num w:numId="3" w16cid:durableId="883639302">
    <w:abstractNumId w:val="27"/>
  </w:num>
  <w:num w:numId="4" w16cid:durableId="525871595">
    <w:abstractNumId w:val="26"/>
  </w:num>
  <w:num w:numId="5" w16cid:durableId="1586765687">
    <w:abstractNumId w:val="9"/>
  </w:num>
  <w:num w:numId="6" w16cid:durableId="1194616418">
    <w:abstractNumId w:val="21"/>
  </w:num>
  <w:num w:numId="7" w16cid:durableId="365907647">
    <w:abstractNumId w:val="31"/>
  </w:num>
  <w:num w:numId="8" w16cid:durableId="1430464444">
    <w:abstractNumId w:val="18"/>
  </w:num>
  <w:num w:numId="9" w16cid:durableId="1328754521">
    <w:abstractNumId w:val="0"/>
  </w:num>
  <w:num w:numId="10" w16cid:durableId="1227496067">
    <w:abstractNumId w:val="24"/>
  </w:num>
  <w:num w:numId="11" w16cid:durableId="107702885">
    <w:abstractNumId w:val="22"/>
  </w:num>
  <w:num w:numId="12" w16cid:durableId="856624207">
    <w:abstractNumId w:val="10"/>
  </w:num>
  <w:num w:numId="13" w16cid:durableId="662469001">
    <w:abstractNumId w:val="25"/>
  </w:num>
  <w:num w:numId="14" w16cid:durableId="1967882092">
    <w:abstractNumId w:val="25"/>
    <w:lvlOverride w:ilvl="0">
      <w:startOverride w:val="1"/>
    </w:lvlOverride>
  </w:num>
  <w:num w:numId="15" w16cid:durableId="2087070082">
    <w:abstractNumId w:val="25"/>
    <w:lvlOverride w:ilvl="0">
      <w:startOverride w:val="1"/>
    </w:lvlOverride>
  </w:num>
  <w:num w:numId="16" w16cid:durableId="466168591">
    <w:abstractNumId w:val="25"/>
    <w:lvlOverride w:ilvl="0">
      <w:startOverride w:val="1"/>
    </w:lvlOverride>
  </w:num>
  <w:num w:numId="17" w16cid:durableId="2033023269">
    <w:abstractNumId w:val="25"/>
  </w:num>
  <w:num w:numId="18" w16cid:durableId="1489326820">
    <w:abstractNumId w:val="25"/>
    <w:lvlOverride w:ilvl="0">
      <w:startOverride w:val="1"/>
    </w:lvlOverride>
  </w:num>
  <w:num w:numId="19" w16cid:durableId="931820813">
    <w:abstractNumId w:val="25"/>
    <w:lvlOverride w:ilvl="0">
      <w:startOverride w:val="1"/>
    </w:lvlOverride>
  </w:num>
  <w:num w:numId="20" w16cid:durableId="513150030">
    <w:abstractNumId w:val="25"/>
  </w:num>
  <w:num w:numId="21" w16cid:durableId="1829591107">
    <w:abstractNumId w:val="36"/>
  </w:num>
  <w:num w:numId="22" w16cid:durableId="1807628479">
    <w:abstractNumId w:val="25"/>
    <w:lvlOverride w:ilvl="0">
      <w:startOverride w:val="1"/>
    </w:lvlOverride>
  </w:num>
  <w:num w:numId="23" w16cid:durableId="2100980481">
    <w:abstractNumId w:val="16"/>
  </w:num>
  <w:num w:numId="24" w16cid:durableId="652101199">
    <w:abstractNumId w:val="25"/>
    <w:lvlOverride w:ilvl="0">
      <w:startOverride w:val="1"/>
    </w:lvlOverride>
  </w:num>
  <w:num w:numId="25" w16cid:durableId="403646833">
    <w:abstractNumId w:val="28"/>
  </w:num>
  <w:num w:numId="26" w16cid:durableId="109053991">
    <w:abstractNumId w:val="19"/>
  </w:num>
  <w:num w:numId="27" w16cid:durableId="1340505277">
    <w:abstractNumId w:val="25"/>
    <w:lvlOverride w:ilvl="0">
      <w:startOverride w:val="1"/>
    </w:lvlOverride>
  </w:num>
  <w:num w:numId="28" w16cid:durableId="843783881">
    <w:abstractNumId w:val="25"/>
    <w:lvlOverride w:ilvl="0">
      <w:startOverride w:val="1"/>
    </w:lvlOverride>
  </w:num>
  <w:num w:numId="29" w16cid:durableId="1445035329">
    <w:abstractNumId w:val="13"/>
  </w:num>
  <w:num w:numId="30" w16cid:durableId="1972978127">
    <w:abstractNumId w:val="36"/>
    <w:lvlOverride w:ilvl="0">
      <w:startOverride w:val="1"/>
    </w:lvlOverride>
  </w:num>
  <w:num w:numId="31" w16cid:durableId="1844468516">
    <w:abstractNumId w:val="35"/>
  </w:num>
  <w:num w:numId="32" w16cid:durableId="5844634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90532388">
    <w:abstractNumId w:val="37"/>
    <w:lvlOverride w:ilvl="0">
      <w:lvl w:ilvl="0">
        <w:start w:val="1"/>
        <w:numFmt w:val="decimal"/>
        <w:pStyle w:val="slovanseznam"/>
        <w:lvlText w:val="%1."/>
        <w:lvlJc w:val="left"/>
        <w:pPr>
          <w:ind w:left="360" w:hanging="360"/>
        </w:pPr>
        <w:rPr>
          <w:rFonts w:ascii="Arial" w:hAnsi="Arial" w:hint="default"/>
          <w:b/>
          <w:i w:val="0"/>
          <w:color w:val="808080" w:themeColor="background1" w:themeShade="80"/>
          <w:sz w:val="20"/>
        </w:rPr>
      </w:lvl>
    </w:lvlOverride>
    <w:lvlOverride w:ilvl="1">
      <w:lvl w:ilvl="1">
        <w:start w:val="1"/>
        <w:numFmt w:val="lowerLetter"/>
        <w:lvlText w:val="%2."/>
        <w:lvlJc w:val="left"/>
        <w:pPr>
          <w:ind w:left="1080" w:hanging="360"/>
        </w:pPr>
        <w:rPr>
          <w:rFonts w:ascii="Arial" w:hAnsi="Arial" w:hint="default"/>
          <w:b/>
          <w:i w:val="0"/>
          <w:color w:val="ED1C24" w:themeColor="accent1"/>
          <w:sz w:val="20"/>
        </w:rPr>
      </w:lvl>
    </w:lvlOverride>
    <w:lvlOverride w:ilvl="2">
      <w:lvl w:ilvl="2">
        <w:start w:val="1"/>
        <w:numFmt w:val="lowerRoman"/>
        <w:lvlText w:val="%3."/>
        <w:lvlJc w:val="right"/>
        <w:pPr>
          <w:ind w:left="1800" w:hanging="180"/>
        </w:pPr>
        <w:rPr>
          <w:rFonts w:ascii="Arial" w:hAnsi="Arial" w:hint="default"/>
          <w:b/>
          <w:i w:val="0"/>
          <w:color w:val="ED1C24" w:themeColor="accent1"/>
          <w:sz w:val="20"/>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4" w16cid:durableId="1478186392">
    <w:abstractNumId w:val="37"/>
    <w:lvlOverride w:ilvl="0">
      <w:lvl w:ilvl="0">
        <w:start w:val="1"/>
        <w:numFmt w:val="decimal"/>
        <w:pStyle w:val="slovanseznam"/>
        <w:lvlText w:val="%1."/>
        <w:lvlJc w:val="left"/>
        <w:pPr>
          <w:ind w:left="360" w:hanging="360"/>
        </w:pPr>
        <w:rPr>
          <w:rFonts w:ascii="Arial" w:hAnsi="Arial" w:hint="default"/>
          <w:b/>
          <w:i w:val="0"/>
          <w:color w:val="ED1C24" w:themeColor="accent1"/>
          <w:sz w:val="20"/>
        </w:rPr>
      </w:lvl>
    </w:lvlOverride>
    <w:lvlOverride w:ilvl="1">
      <w:lvl w:ilvl="1">
        <w:start w:val="1"/>
        <w:numFmt w:val="lowerLetter"/>
        <w:lvlText w:val="%2."/>
        <w:lvlJc w:val="left"/>
        <w:pPr>
          <w:ind w:left="1080" w:hanging="360"/>
        </w:pPr>
        <w:rPr>
          <w:rFonts w:ascii="Arial" w:hAnsi="Arial" w:hint="default"/>
          <w:b/>
          <w:i w:val="0"/>
          <w:color w:val="ED1C24" w:themeColor="accent1"/>
          <w:sz w:val="20"/>
        </w:rPr>
      </w:lvl>
    </w:lvlOverride>
    <w:lvlOverride w:ilvl="2">
      <w:lvl w:ilvl="2">
        <w:start w:val="1"/>
        <w:numFmt w:val="lowerRoman"/>
        <w:lvlText w:val="%3."/>
        <w:lvlJc w:val="right"/>
        <w:pPr>
          <w:ind w:left="1800" w:hanging="180"/>
        </w:pPr>
        <w:rPr>
          <w:rFonts w:ascii="Arial" w:hAnsi="Arial" w:hint="default"/>
          <w:b/>
          <w:i w:val="0"/>
          <w:color w:val="ED1C24" w:themeColor="accent1"/>
          <w:sz w:val="20"/>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35" w16cid:durableId="1448739235">
    <w:abstractNumId w:val="44"/>
  </w:num>
  <w:num w:numId="36" w16cid:durableId="1972438416">
    <w:abstractNumId w:val="32"/>
  </w:num>
  <w:num w:numId="37" w16cid:durableId="441851283">
    <w:abstractNumId w:val="23"/>
  </w:num>
  <w:num w:numId="38" w16cid:durableId="1168397712">
    <w:abstractNumId w:val="15"/>
  </w:num>
  <w:num w:numId="39" w16cid:durableId="1274169320">
    <w:abstractNumId w:val="42"/>
  </w:num>
  <w:num w:numId="40" w16cid:durableId="1269586215">
    <w:abstractNumId w:val="3"/>
  </w:num>
  <w:num w:numId="41" w16cid:durableId="1980988439">
    <w:abstractNumId w:val="46"/>
  </w:num>
  <w:num w:numId="42" w16cid:durableId="178203801">
    <w:abstractNumId w:val="37"/>
    <w:lvlOverride w:ilvl="0">
      <w:startOverride w:val="1"/>
      <w:lvl w:ilvl="0">
        <w:start w:val="1"/>
        <w:numFmt w:val="decimal"/>
        <w:pStyle w:val="slovanseznam"/>
        <w:lvlText w:val="%1."/>
        <w:lvlJc w:val="left"/>
        <w:pPr>
          <w:ind w:left="360" w:hanging="360"/>
        </w:pPr>
        <w:rPr>
          <w:rFonts w:ascii="Arial" w:hAnsi="Arial" w:hint="default"/>
          <w:b/>
          <w:i w:val="0"/>
          <w:color w:val="ED1C24" w:themeColor="accent1"/>
          <w:sz w:val="20"/>
        </w:rPr>
      </w:lvl>
    </w:lvlOverride>
    <w:lvlOverride w:ilvl="1">
      <w:startOverride w:val="1"/>
      <w:lvl w:ilvl="1">
        <w:start w:val="1"/>
        <w:numFmt w:val="lowerLetter"/>
        <w:lvlText w:val="%2."/>
        <w:lvlJc w:val="left"/>
        <w:pPr>
          <w:ind w:left="1080" w:hanging="360"/>
        </w:pPr>
        <w:rPr>
          <w:rFonts w:ascii="Arial" w:hAnsi="Arial" w:hint="default"/>
          <w:b/>
          <w:i w:val="0"/>
          <w:color w:val="ED1C24" w:themeColor="accent1"/>
          <w:sz w:val="20"/>
        </w:rPr>
      </w:lvl>
    </w:lvlOverride>
    <w:lvlOverride w:ilvl="2">
      <w:startOverride w:val="1"/>
      <w:lvl w:ilvl="2">
        <w:start w:val="1"/>
        <w:numFmt w:val="lowerRoman"/>
        <w:lvlText w:val="%3."/>
        <w:lvlJc w:val="right"/>
        <w:pPr>
          <w:ind w:left="1800" w:hanging="180"/>
        </w:pPr>
        <w:rPr>
          <w:rFonts w:ascii="Arial" w:hAnsi="Arial" w:hint="default"/>
          <w:b/>
          <w:i w:val="0"/>
          <w:color w:val="ED1C24" w:themeColor="accent1"/>
          <w:sz w:val="20"/>
        </w:rPr>
      </w:lvl>
    </w:lvlOverride>
    <w:lvlOverride w:ilvl="3">
      <w:startOverride w:val="1"/>
      <w:lvl w:ilvl="3">
        <w:start w:val="1"/>
        <w:numFmt w:val="decimal"/>
        <w:lvlText w:val="%4."/>
        <w:lvlJc w:val="left"/>
        <w:pPr>
          <w:ind w:left="2520" w:hanging="360"/>
        </w:pPr>
        <w:rPr>
          <w:rFonts w:hint="default"/>
        </w:rPr>
      </w:lvl>
    </w:lvlOverride>
    <w:lvlOverride w:ilvl="4">
      <w:startOverride w:val="1"/>
      <w:lvl w:ilvl="4">
        <w:start w:val="1"/>
        <w:numFmt w:val="lowerLetter"/>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43" w16cid:durableId="1977643299">
    <w:abstractNumId w:val="37"/>
    <w:lvlOverride w:ilvl="0">
      <w:startOverride w:val="1"/>
      <w:lvl w:ilvl="0">
        <w:start w:val="1"/>
        <w:numFmt w:val="decimal"/>
        <w:pStyle w:val="slovanseznam"/>
        <w:lvlText w:val="%1."/>
        <w:lvlJc w:val="left"/>
        <w:pPr>
          <w:ind w:left="360" w:hanging="360"/>
        </w:pPr>
        <w:rPr>
          <w:rFonts w:ascii="Arial" w:hAnsi="Arial" w:hint="default"/>
          <w:b/>
          <w:i w:val="0"/>
          <w:color w:val="808080" w:themeColor="background1" w:themeShade="80"/>
          <w:sz w:val="20"/>
        </w:rPr>
      </w:lvl>
    </w:lvlOverride>
    <w:lvlOverride w:ilvl="1">
      <w:startOverride w:val="1"/>
      <w:lvl w:ilvl="1">
        <w:start w:val="1"/>
        <w:numFmt w:val="lowerLetter"/>
        <w:lvlText w:val="%2."/>
        <w:lvlJc w:val="left"/>
        <w:pPr>
          <w:ind w:left="1080" w:hanging="360"/>
        </w:pPr>
        <w:rPr>
          <w:rFonts w:ascii="Arial" w:hAnsi="Arial" w:hint="default"/>
          <w:b/>
          <w:i w:val="0"/>
          <w:color w:val="808080" w:themeColor="background1" w:themeShade="80"/>
          <w:sz w:val="20"/>
        </w:rPr>
      </w:lvl>
    </w:lvlOverride>
    <w:lvlOverride w:ilvl="2">
      <w:startOverride w:val="1"/>
      <w:lvl w:ilvl="2">
        <w:start w:val="1"/>
        <w:numFmt w:val="lowerRoman"/>
        <w:lvlText w:val="%3."/>
        <w:lvlJc w:val="right"/>
        <w:pPr>
          <w:ind w:left="1800" w:hanging="180"/>
        </w:pPr>
        <w:rPr>
          <w:rFonts w:ascii="Arial" w:hAnsi="Arial" w:hint="default"/>
          <w:b/>
          <w:i w:val="0"/>
          <w:color w:val="ED1C24" w:themeColor="accent1"/>
          <w:sz w:val="20"/>
        </w:rPr>
      </w:lvl>
    </w:lvlOverride>
    <w:lvlOverride w:ilvl="3">
      <w:startOverride w:val="1"/>
      <w:lvl w:ilvl="3">
        <w:start w:val="1"/>
        <w:numFmt w:val="decimal"/>
        <w:lvlText w:val="%4."/>
        <w:lvlJc w:val="left"/>
        <w:pPr>
          <w:ind w:left="2520" w:hanging="360"/>
        </w:pPr>
        <w:rPr>
          <w:rFonts w:hint="default"/>
        </w:rPr>
      </w:lvl>
    </w:lvlOverride>
    <w:lvlOverride w:ilvl="4">
      <w:startOverride w:val="1"/>
      <w:lvl w:ilvl="4">
        <w:start w:val="1"/>
        <w:numFmt w:val="lowerLetter"/>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44" w16cid:durableId="1524898314">
    <w:abstractNumId w:val="6"/>
  </w:num>
  <w:num w:numId="45" w16cid:durableId="945692416">
    <w:abstractNumId w:val="17"/>
  </w:num>
  <w:num w:numId="46" w16cid:durableId="611666599">
    <w:abstractNumId w:val="37"/>
    <w:lvlOverride w:ilvl="0">
      <w:startOverride w:val="1"/>
      <w:lvl w:ilvl="0">
        <w:start w:val="1"/>
        <w:numFmt w:val="decimal"/>
        <w:pStyle w:val="slovanseznam"/>
        <w:lvlText w:val="%1."/>
        <w:lvlJc w:val="left"/>
        <w:pPr>
          <w:ind w:left="360" w:hanging="360"/>
        </w:pPr>
        <w:rPr>
          <w:rFonts w:ascii="Arial" w:hAnsi="Arial" w:hint="default"/>
          <w:b/>
          <w:i w:val="0"/>
          <w:color w:val="ED1C24" w:themeColor="accent1"/>
          <w:sz w:val="20"/>
        </w:rPr>
      </w:lvl>
    </w:lvlOverride>
    <w:lvlOverride w:ilvl="1">
      <w:startOverride w:val="1"/>
      <w:lvl w:ilvl="1">
        <w:start w:val="1"/>
        <w:numFmt w:val="lowerLetter"/>
        <w:lvlText w:val="%2."/>
        <w:lvlJc w:val="left"/>
        <w:pPr>
          <w:ind w:left="1080" w:hanging="360"/>
        </w:pPr>
        <w:rPr>
          <w:rFonts w:ascii="Arial" w:hAnsi="Arial" w:hint="default"/>
          <w:b/>
          <w:i w:val="0"/>
          <w:color w:val="ED1C24" w:themeColor="accent1"/>
          <w:sz w:val="20"/>
        </w:rPr>
      </w:lvl>
    </w:lvlOverride>
    <w:lvlOverride w:ilvl="2">
      <w:startOverride w:val="1"/>
      <w:lvl w:ilvl="2">
        <w:start w:val="1"/>
        <w:numFmt w:val="lowerRoman"/>
        <w:lvlText w:val="%3."/>
        <w:lvlJc w:val="right"/>
        <w:pPr>
          <w:ind w:left="1800" w:hanging="180"/>
        </w:pPr>
        <w:rPr>
          <w:rFonts w:ascii="Arial" w:hAnsi="Arial" w:hint="default"/>
          <w:b/>
          <w:i w:val="0"/>
          <w:color w:val="ED1C24" w:themeColor="accent1"/>
          <w:sz w:val="20"/>
        </w:rPr>
      </w:lvl>
    </w:lvlOverride>
    <w:lvlOverride w:ilvl="3">
      <w:startOverride w:val="1"/>
      <w:lvl w:ilvl="3">
        <w:start w:val="1"/>
        <w:numFmt w:val="decimal"/>
        <w:lvlText w:val="%4."/>
        <w:lvlJc w:val="left"/>
        <w:pPr>
          <w:ind w:left="2520" w:hanging="360"/>
        </w:pPr>
        <w:rPr>
          <w:rFonts w:hint="default"/>
        </w:rPr>
      </w:lvl>
    </w:lvlOverride>
    <w:lvlOverride w:ilvl="4">
      <w:startOverride w:val="1"/>
      <w:lvl w:ilvl="4">
        <w:start w:val="1"/>
        <w:numFmt w:val="lowerLetter"/>
        <w:lvlText w:val="%5."/>
        <w:lvlJc w:val="left"/>
        <w:pPr>
          <w:ind w:left="3240" w:hanging="360"/>
        </w:pPr>
        <w:rPr>
          <w:rFonts w:hint="default"/>
        </w:rPr>
      </w:lvl>
    </w:lvlOverride>
    <w:lvlOverride w:ilvl="5">
      <w:startOverride w:val="1"/>
      <w:lvl w:ilvl="5">
        <w:start w:val="1"/>
        <w:numFmt w:val="lowerRoman"/>
        <w:lvlText w:val="%6."/>
        <w:lvlJc w:val="right"/>
        <w:pPr>
          <w:ind w:left="3960" w:hanging="180"/>
        </w:pPr>
        <w:rPr>
          <w:rFonts w:hint="default"/>
        </w:rPr>
      </w:lvl>
    </w:lvlOverride>
    <w:lvlOverride w:ilvl="6">
      <w:startOverride w:val="1"/>
      <w:lvl w:ilvl="6">
        <w:start w:val="1"/>
        <w:numFmt w:val="decimal"/>
        <w:lvlText w:val="%7."/>
        <w:lvlJc w:val="left"/>
        <w:pPr>
          <w:ind w:left="468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right"/>
        <w:pPr>
          <w:ind w:left="6120" w:hanging="180"/>
        </w:pPr>
        <w:rPr>
          <w:rFonts w:hint="default"/>
        </w:rPr>
      </w:lvl>
    </w:lvlOverride>
  </w:num>
  <w:num w:numId="47" w16cid:durableId="595669857">
    <w:abstractNumId w:val="36"/>
  </w:num>
  <w:num w:numId="48" w16cid:durableId="1347320966">
    <w:abstractNumId w:val="37"/>
    <w:lvlOverride w:ilvl="0">
      <w:lvl w:ilvl="0">
        <w:start w:val="1"/>
        <w:numFmt w:val="decimal"/>
        <w:pStyle w:val="slovanseznam"/>
        <w:lvlText w:val="%1."/>
        <w:lvlJc w:val="left"/>
        <w:pPr>
          <w:ind w:left="360" w:hanging="360"/>
        </w:pPr>
        <w:rPr>
          <w:rFonts w:ascii="Arial" w:hAnsi="Arial" w:hint="default"/>
          <w:b/>
          <w:i w:val="0"/>
          <w:color w:val="ED1C24" w:themeColor="accent1"/>
          <w:sz w:val="20"/>
        </w:rPr>
      </w:lvl>
    </w:lvlOverride>
    <w:lvlOverride w:ilvl="1">
      <w:lvl w:ilvl="1">
        <w:start w:val="1"/>
        <w:numFmt w:val="lowerLetter"/>
        <w:lvlText w:val="%2."/>
        <w:lvlJc w:val="left"/>
        <w:pPr>
          <w:ind w:left="1080" w:hanging="360"/>
        </w:pPr>
        <w:rPr>
          <w:rFonts w:ascii="Arial" w:hAnsi="Arial" w:hint="default"/>
          <w:b/>
          <w:i w:val="0"/>
          <w:color w:val="ED1C24" w:themeColor="accent1"/>
          <w:sz w:val="20"/>
        </w:rPr>
      </w:lvl>
    </w:lvlOverride>
    <w:lvlOverride w:ilvl="2">
      <w:lvl w:ilvl="2">
        <w:start w:val="1"/>
        <w:numFmt w:val="lowerRoman"/>
        <w:lvlText w:val="%3."/>
        <w:lvlJc w:val="right"/>
        <w:pPr>
          <w:ind w:left="1800" w:hanging="180"/>
        </w:pPr>
        <w:rPr>
          <w:rFonts w:ascii="Arial" w:hAnsi="Arial" w:hint="default"/>
          <w:b/>
          <w:i w:val="0"/>
          <w:color w:val="ED1C24" w:themeColor="accent1"/>
          <w:sz w:val="20"/>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49" w16cid:durableId="1091513816">
    <w:abstractNumId w:val="30"/>
  </w:num>
  <w:num w:numId="50" w16cid:durableId="1389382675">
    <w:abstractNumId w:val="12"/>
  </w:num>
  <w:num w:numId="51" w16cid:durableId="2027512918">
    <w:abstractNumId w:val="47"/>
  </w:num>
  <w:num w:numId="52" w16cid:durableId="1355233163">
    <w:abstractNumId w:val="1"/>
  </w:num>
  <w:num w:numId="53" w16cid:durableId="1919095271">
    <w:abstractNumId w:val="45"/>
  </w:num>
  <w:num w:numId="54" w16cid:durableId="536937802">
    <w:abstractNumId w:val="11"/>
  </w:num>
  <w:num w:numId="55" w16cid:durableId="533664355">
    <w:abstractNumId w:val="4"/>
  </w:num>
  <w:num w:numId="56" w16cid:durableId="2029671021">
    <w:abstractNumId w:val="33"/>
  </w:num>
  <w:num w:numId="57" w16cid:durableId="215360608">
    <w:abstractNumId w:val="8"/>
  </w:num>
  <w:num w:numId="58" w16cid:durableId="1800613630">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360"/>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bcd8d3,#016d9e"/>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DEB"/>
    <w:rsid w:val="00001C47"/>
    <w:rsid w:val="000047BB"/>
    <w:rsid w:val="000100A8"/>
    <w:rsid w:val="00011440"/>
    <w:rsid w:val="00012F22"/>
    <w:rsid w:val="00013085"/>
    <w:rsid w:val="00013EAE"/>
    <w:rsid w:val="00015EDE"/>
    <w:rsid w:val="00017FCB"/>
    <w:rsid w:val="00025951"/>
    <w:rsid w:val="00032938"/>
    <w:rsid w:val="00033CA0"/>
    <w:rsid w:val="00040475"/>
    <w:rsid w:val="0004472D"/>
    <w:rsid w:val="0004607B"/>
    <w:rsid w:val="00047E45"/>
    <w:rsid w:val="00053D8B"/>
    <w:rsid w:val="000717DD"/>
    <w:rsid w:val="00072A5A"/>
    <w:rsid w:val="0007602E"/>
    <w:rsid w:val="00076363"/>
    <w:rsid w:val="00080BFF"/>
    <w:rsid w:val="000850ED"/>
    <w:rsid w:val="00095E1C"/>
    <w:rsid w:val="000A1F25"/>
    <w:rsid w:val="000B5DAD"/>
    <w:rsid w:val="000C40A2"/>
    <w:rsid w:val="000C5192"/>
    <w:rsid w:val="000C6910"/>
    <w:rsid w:val="000D0CA4"/>
    <w:rsid w:val="000D1BA8"/>
    <w:rsid w:val="000D23BC"/>
    <w:rsid w:val="000D4665"/>
    <w:rsid w:val="000E004A"/>
    <w:rsid w:val="000E5E8B"/>
    <w:rsid w:val="000E76B5"/>
    <w:rsid w:val="000F424B"/>
    <w:rsid w:val="000F53CA"/>
    <w:rsid w:val="00100720"/>
    <w:rsid w:val="00100EB1"/>
    <w:rsid w:val="00101442"/>
    <w:rsid w:val="001017C8"/>
    <w:rsid w:val="001053CE"/>
    <w:rsid w:val="00105BD2"/>
    <w:rsid w:val="00106B2C"/>
    <w:rsid w:val="001115A6"/>
    <w:rsid w:val="001118C2"/>
    <w:rsid w:val="00111B47"/>
    <w:rsid w:val="001179E5"/>
    <w:rsid w:val="00121B06"/>
    <w:rsid w:val="00121DDC"/>
    <w:rsid w:val="00121F7A"/>
    <w:rsid w:val="00122D2C"/>
    <w:rsid w:val="00122F16"/>
    <w:rsid w:val="00124E3C"/>
    <w:rsid w:val="00134FD8"/>
    <w:rsid w:val="001444B6"/>
    <w:rsid w:val="00145D2C"/>
    <w:rsid w:val="00150ABD"/>
    <w:rsid w:val="001533A1"/>
    <w:rsid w:val="00166B8B"/>
    <w:rsid w:val="00170D53"/>
    <w:rsid w:val="00170E3D"/>
    <w:rsid w:val="00174050"/>
    <w:rsid w:val="00174C17"/>
    <w:rsid w:val="00174E0F"/>
    <w:rsid w:val="001766D0"/>
    <w:rsid w:val="00183A91"/>
    <w:rsid w:val="00184C86"/>
    <w:rsid w:val="00185763"/>
    <w:rsid w:val="001918A7"/>
    <w:rsid w:val="001925C3"/>
    <w:rsid w:val="00197229"/>
    <w:rsid w:val="001A1A11"/>
    <w:rsid w:val="001A42EC"/>
    <w:rsid w:val="001B24F4"/>
    <w:rsid w:val="001B2753"/>
    <w:rsid w:val="001B5E4A"/>
    <w:rsid w:val="001B77BF"/>
    <w:rsid w:val="001B7A5E"/>
    <w:rsid w:val="001C0974"/>
    <w:rsid w:val="001C4E9B"/>
    <w:rsid w:val="001D0398"/>
    <w:rsid w:val="001E404E"/>
    <w:rsid w:val="001E6F82"/>
    <w:rsid w:val="001F3F79"/>
    <w:rsid w:val="001F476E"/>
    <w:rsid w:val="001F7A2C"/>
    <w:rsid w:val="001F7D0B"/>
    <w:rsid w:val="0020369F"/>
    <w:rsid w:val="00205268"/>
    <w:rsid w:val="00206DA5"/>
    <w:rsid w:val="00207644"/>
    <w:rsid w:val="0021060B"/>
    <w:rsid w:val="00220003"/>
    <w:rsid w:val="002242A4"/>
    <w:rsid w:val="00224449"/>
    <w:rsid w:val="002257DB"/>
    <w:rsid w:val="00235072"/>
    <w:rsid w:val="00235E12"/>
    <w:rsid w:val="00236955"/>
    <w:rsid w:val="0024037B"/>
    <w:rsid w:val="0024119F"/>
    <w:rsid w:val="00241212"/>
    <w:rsid w:val="00244EDF"/>
    <w:rsid w:val="002517B6"/>
    <w:rsid w:val="00253C2A"/>
    <w:rsid w:val="00256186"/>
    <w:rsid w:val="00256425"/>
    <w:rsid w:val="0026325A"/>
    <w:rsid w:val="00263299"/>
    <w:rsid w:val="00263BEC"/>
    <w:rsid w:val="002701F1"/>
    <w:rsid w:val="002740F6"/>
    <w:rsid w:val="00275F1E"/>
    <w:rsid w:val="00290A86"/>
    <w:rsid w:val="002910B3"/>
    <w:rsid w:val="002915CF"/>
    <w:rsid w:val="0029220C"/>
    <w:rsid w:val="00293A1A"/>
    <w:rsid w:val="00295AB6"/>
    <w:rsid w:val="00297B0A"/>
    <w:rsid w:val="002A338C"/>
    <w:rsid w:val="002A6713"/>
    <w:rsid w:val="002B1477"/>
    <w:rsid w:val="002B1C77"/>
    <w:rsid w:val="002B523F"/>
    <w:rsid w:val="002B650A"/>
    <w:rsid w:val="002C0B59"/>
    <w:rsid w:val="002C153E"/>
    <w:rsid w:val="002C1577"/>
    <w:rsid w:val="002C4805"/>
    <w:rsid w:val="002D007F"/>
    <w:rsid w:val="002D0D63"/>
    <w:rsid w:val="002D36C6"/>
    <w:rsid w:val="002D478E"/>
    <w:rsid w:val="002E3DF3"/>
    <w:rsid w:val="002E54B2"/>
    <w:rsid w:val="002F0E5A"/>
    <w:rsid w:val="002F36B5"/>
    <w:rsid w:val="002F4AD9"/>
    <w:rsid w:val="00302765"/>
    <w:rsid w:val="0030531E"/>
    <w:rsid w:val="00325AC8"/>
    <w:rsid w:val="00326788"/>
    <w:rsid w:val="00326DC7"/>
    <w:rsid w:val="00332EFF"/>
    <w:rsid w:val="00335711"/>
    <w:rsid w:val="00345600"/>
    <w:rsid w:val="00346F05"/>
    <w:rsid w:val="0035023F"/>
    <w:rsid w:val="0035079E"/>
    <w:rsid w:val="003527BD"/>
    <w:rsid w:val="00352D0D"/>
    <w:rsid w:val="003571D7"/>
    <w:rsid w:val="0035736D"/>
    <w:rsid w:val="00360814"/>
    <w:rsid w:val="003649B7"/>
    <w:rsid w:val="003734BA"/>
    <w:rsid w:val="00375C43"/>
    <w:rsid w:val="00385915"/>
    <w:rsid w:val="003950E6"/>
    <w:rsid w:val="003A72F5"/>
    <w:rsid w:val="003C1D5E"/>
    <w:rsid w:val="003D05EE"/>
    <w:rsid w:val="003D3D49"/>
    <w:rsid w:val="003D6676"/>
    <w:rsid w:val="003D6706"/>
    <w:rsid w:val="003D6DE7"/>
    <w:rsid w:val="003E71F4"/>
    <w:rsid w:val="003F49FD"/>
    <w:rsid w:val="003F5DF4"/>
    <w:rsid w:val="00400492"/>
    <w:rsid w:val="00400F74"/>
    <w:rsid w:val="0040267F"/>
    <w:rsid w:val="00403A8C"/>
    <w:rsid w:val="00411523"/>
    <w:rsid w:val="00414549"/>
    <w:rsid w:val="00415C8F"/>
    <w:rsid w:val="004319C3"/>
    <w:rsid w:val="00432545"/>
    <w:rsid w:val="00441147"/>
    <w:rsid w:val="004445FB"/>
    <w:rsid w:val="00445F62"/>
    <w:rsid w:val="00446132"/>
    <w:rsid w:val="004478A9"/>
    <w:rsid w:val="0045642C"/>
    <w:rsid w:val="004621A4"/>
    <w:rsid w:val="004648B5"/>
    <w:rsid w:val="004678B1"/>
    <w:rsid w:val="00473EE6"/>
    <w:rsid w:val="00474E18"/>
    <w:rsid w:val="0047507D"/>
    <w:rsid w:val="004773DD"/>
    <w:rsid w:val="00482AD1"/>
    <w:rsid w:val="004918E4"/>
    <w:rsid w:val="00492869"/>
    <w:rsid w:val="004A738E"/>
    <w:rsid w:val="004B20AE"/>
    <w:rsid w:val="004B4AF4"/>
    <w:rsid w:val="004C4828"/>
    <w:rsid w:val="004C69F1"/>
    <w:rsid w:val="004C7BA8"/>
    <w:rsid w:val="004D0A37"/>
    <w:rsid w:val="004D0C8C"/>
    <w:rsid w:val="004D59BA"/>
    <w:rsid w:val="004D6647"/>
    <w:rsid w:val="004D78AF"/>
    <w:rsid w:val="004E126C"/>
    <w:rsid w:val="004E52A2"/>
    <w:rsid w:val="004E5485"/>
    <w:rsid w:val="004F0859"/>
    <w:rsid w:val="004F1A1B"/>
    <w:rsid w:val="004F3D2A"/>
    <w:rsid w:val="004F6CF1"/>
    <w:rsid w:val="00502E75"/>
    <w:rsid w:val="00512253"/>
    <w:rsid w:val="00512F57"/>
    <w:rsid w:val="00514B63"/>
    <w:rsid w:val="00515A42"/>
    <w:rsid w:val="00521162"/>
    <w:rsid w:val="00527CE8"/>
    <w:rsid w:val="005328CB"/>
    <w:rsid w:val="00534440"/>
    <w:rsid w:val="00534B8B"/>
    <w:rsid w:val="00551733"/>
    <w:rsid w:val="00553295"/>
    <w:rsid w:val="00572823"/>
    <w:rsid w:val="005729BE"/>
    <w:rsid w:val="005832A8"/>
    <w:rsid w:val="0058517C"/>
    <w:rsid w:val="0059545E"/>
    <w:rsid w:val="005955D1"/>
    <w:rsid w:val="00596F00"/>
    <w:rsid w:val="005A60B4"/>
    <w:rsid w:val="005B1F11"/>
    <w:rsid w:val="005B2174"/>
    <w:rsid w:val="005B3636"/>
    <w:rsid w:val="005B4947"/>
    <w:rsid w:val="005C0BA9"/>
    <w:rsid w:val="005C5783"/>
    <w:rsid w:val="005C7069"/>
    <w:rsid w:val="005D19B9"/>
    <w:rsid w:val="005D1F10"/>
    <w:rsid w:val="005D470F"/>
    <w:rsid w:val="005D5629"/>
    <w:rsid w:val="005E19B9"/>
    <w:rsid w:val="005E3B97"/>
    <w:rsid w:val="005F5DB6"/>
    <w:rsid w:val="005F5E37"/>
    <w:rsid w:val="00604072"/>
    <w:rsid w:val="00613884"/>
    <w:rsid w:val="00613BCA"/>
    <w:rsid w:val="006166A9"/>
    <w:rsid w:val="00616CB4"/>
    <w:rsid w:val="00617605"/>
    <w:rsid w:val="006241F6"/>
    <w:rsid w:val="00624CFB"/>
    <w:rsid w:val="006353D7"/>
    <w:rsid w:val="006434A1"/>
    <w:rsid w:val="00646A30"/>
    <w:rsid w:val="00650770"/>
    <w:rsid w:val="00651407"/>
    <w:rsid w:val="00656CDB"/>
    <w:rsid w:val="00662236"/>
    <w:rsid w:val="00665B1A"/>
    <w:rsid w:val="006703DB"/>
    <w:rsid w:val="00670419"/>
    <w:rsid w:val="00670F6D"/>
    <w:rsid w:val="00671233"/>
    <w:rsid w:val="00671CD9"/>
    <w:rsid w:val="00671D31"/>
    <w:rsid w:val="0067459A"/>
    <w:rsid w:val="00676737"/>
    <w:rsid w:val="00685334"/>
    <w:rsid w:val="006854EB"/>
    <w:rsid w:val="00686BD2"/>
    <w:rsid w:val="00687CA8"/>
    <w:rsid w:val="0069055B"/>
    <w:rsid w:val="00690FE1"/>
    <w:rsid w:val="00696373"/>
    <w:rsid w:val="006A1FB0"/>
    <w:rsid w:val="006A4BB1"/>
    <w:rsid w:val="006B05EF"/>
    <w:rsid w:val="006B34BC"/>
    <w:rsid w:val="006D0F13"/>
    <w:rsid w:val="006D12DA"/>
    <w:rsid w:val="006D2189"/>
    <w:rsid w:val="006D245A"/>
    <w:rsid w:val="006D2E32"/>
    <w:rsid w:val="006D5115"/>
    <w:rsid w:val="006D5237"/>
    <w:rsid w:val="006D591B"/>
    <w:rsid w:val="006D792E"/>
    <w:rsid w:val="006E1C7C"/>
    <w:rsid w:val="00705070"/>
    <w:rsid w:val="007121E6"/>
    <w:rsid w:val="007131B6"/>
    <w:rsid w:val="00713C5E"/>
    <w:rsid w:val="00714EF4"/>
    <w:rsid w:val="00721776"/>
    <w:rsid w:val="0072270C"/>
    <w:rsid w:val="0072283D"/>
    <w:rsid w:val="007262CF"/>
    <w:rsid w:val="00730524"/>
    <w:rsid w:val="0073318D"/>
    <w:rsid w:val="00737DF4"/>
    <w:rsid w:val="00740656"/>
    <w:rsid w:val="00741255"/>
    <w:rsid w:val="00751992"/>
    <w:rsid w:val="00752C87"/>
    <w:rsid w:val="00755FDE"/>
    <w:rsid w:val="00757FA7"/>
    <w:rsid w:val="00763B6E"/>
    <w:rsid w:val="00763FF8"/>
    <w:rsid w:val="0077072F"/>
    <w:rsid w:val="007725A0"/>
    <w:rsid w:val="007767B4"/>
    <w:rsid w:val="007848D8"/>
    <w:rsid w:val="00792DB9"/>
    <w:rsid w:val="0079683D"/>
    <w:rsid w:val="007A2D4E"/>
    <w:rsid w:val="007A4B7A"/>
    <w:rsid w:val="007A562D"/>
    <w:rsid w:val="007A5779"/>
    <w:rsid w:val="007A720B"/>
    <w:rsid w:val="007C3D05"/>
    <w:rsid w:val="007D1423"/>
    <w:rsid w:val="007D1AEE"/>
    <w:rsid w:val="007D5E17"/>
    <w:rsid w:val="007D6566"/>
    <w:rsid w:val="007D7FC3"/>
    <w:rsid w:val="007E31B9"/>
    <w:rsid w:val="007E7B1A"/>
    <w:rsid w:val="007F57BC"/>
    <w:rsid w:val="007F5F0D"/>
    <w:rsid w:val="008004F6"/>
    <w:rsid w:val="0080055A"/>
    <w:rsid w:val="008020C9"/>
    <w:rsid w:val="008033A1"/>
    <w:rsid w:val="0080455A"/>
    <w:rsid w:val="00806FB0"/>
    <w:rsid w:val="0081394E"/>
    <w:rsid w:val="00813F92"/>
    <w:rsid w:val="008203DC"/>
    <w:rsid w:val="0082575E"/>
    <w:rsid w:val="00825B1C"/>
    <w:rsid w:val="00825EA2"/>
    <w:rsid w:val="008309B1"/>
    <w:rsid w:val="0083431C"/>
    <w:rsid w:val="00836747"/>
    <w:rsid w:val="00841329"/>
    <w:rsid w:val="0084444A"/>
    <w:rsid w:val="0085297B"/>
    <w:rsid w:val="00861D62"/>
    <w:rsid w:val="00863210"/>
    <w:rsid w:val="00871886"/>
    <w:rsid w:val="0087355D"/>
    <w:rsid w:val="00875E45"/>
    <w:rsid w:val="00876516"/>
    <w:rsid w:val="00881F7B"/>
    <w:rsid w:val="00886F7A"/>
    <w:rsid w:val="00896F07"/>
    <w:rsid w:val="008A0887"/>
    <w:rsid w:val="008A119C"/>
    <w:rsid w:val="008A130A"/>
    <w:rsid w:val="008A6611"/>
    <w:rsid w:val="008A7932"/>
    <w:rsid w:val="008B4FDC"/>
    <w:rsid w:val="008B61B2"/>
    <w:rsid w:val="008C3442"/>
    <w:rsid w:val="008C45C8"/>
    <w:rsid w:val="008D39A1"/>
    <w:rsid w:val="008D44AD"/>
    <w:rsid w:val="008D481B"/>
    <w:rsid w:val="008E1E3C"/>
    <w:rsid w:val="008F25A5"/>
    <w:rsid w:val="008F505D"/>
    <w:rsid w:val="008F65C4"/>
    <w:rsid w:val="00906068"/>
    <w:rsid w:val="00907CA8"/>
    <w:rsid w:val="00911EF5"/>
    <w:rsid w:val="00912BF1"/>
    <w:rsid w:val="009165C3"/>
    <w:rsid w:val="00916B2E"/>
    <w:rsid w:val="00921C4F"/>
    <w:rsid w:val="0092734D"/>
    <w:rsid w:val="009312E2"/>
    <w:rsid w:val="0093713C"/>
    <w:rsid w:val="00940492"/>
    <w:rsid w:val="0094072D"/>
    <w:rsid w:val="00943601"/>
    <w:rsid w:val="009459A6"/>
    <w:rsid w:val="00947E73"/>
    <w:rsid w:val="00950336"/>
    <w:rsid w:val="009533D0"/>
    <w:rsid w:val="0095365C"/>
    <w:rsid w:val="009644DC"/>
    <w:rsid w:val="00967E80"/>
    <w:rsid w:val="009722CF"/>
    <w:rsid w:val="0097532D"/>
    <w:rsid w:val="00981612"/>
    <w:rsid w:val="00983011"/>
    <w:rsid w:val="00984F58"/>
    <w:rsid w:val="00993C3A"/>
    <w:rsid w:val="00996DEB"/>
    <w:rsid w:val="009A68C0"/>
    <w:rsid w:val="009B19B8"/>
    <w:rsid w:val="009B2995"/>
    <w:rsid w:val="009B5A7C"/>
    <w:rsid w:val="009B6793"/>
    <w:rsid w:val="009C3366"/>
    <w:rsid w:val="009D3A47"/>
    <w:rsid w:val="009D4AC8"/>
    <w:rsid w:val="009E0208"/>
    <w:rsid w:val="009E1992"/>
    <w:rsid w:val="009F00FE"/>
    <w:rsid w:val="009F392F"/>
    <w:rsid w:val="009F399E"/>
    <w:rsid w:val="009F4C74"/>
    <w:rsid w:val="009F6015"/>
    <w:rsid w:val="009F77F1"/>
    <w:rsid w:val="00A01C0E"/>
    <w:rsid w:val="00A03CDB"/>
    <w:rsid w:val="00A04C73"/>
    <w:rsid w:val="00A06CBA"/>
    <w:rsid w:val="00A06E9D"/>
    <w:rsid w:val="00A11B27"/>
    <w:rsid w:val="00A169B8"/>
    <w:rsid w:val="00A16DBB"/>
    <w:rsid w:val="00A17BBB"/>
    <w:rsid w:val="00A22E4D"/>
    <w:rsid w:val="00A2774D"/>
    <w:rsid w:val="00A3667D"/>
    <w:rsid w:val="00A36AB4"/>
    <w:rsid w:val="00A36BC0"/>
    <w:rsid w:val="00A4225D"/>
    <w:rsid w:val="00A43ABF"/>
    <w:rsid w:val="00A515C1"/>
    <w:rsid w:val="00A54D28"/>
    <w:rsid w:val="00A605C6"/>
    <w:rsid w:val="00A61437"/>
    <w:rsid w:val="00A620F7"/>
    <w:rsid w:val="00A6341E"/>
    <w:rsid w:val="00A649F7"/>
    <w:rsid w:val="00A66064"/>
    <w:rsid w:val="00A66D24"/>
    <w:rsid w:val="00A66DD3"/>
    <w:rsid w:val="00A72A62"/>
    <w:rsid w:val="00A74518"/>
    <w:rsid w:val="00A77322"/>
    <w:rsid w:val="00A80CF5"/>
    <w:rsid w:val="00A81C48"/>
    <w:rsid w:val="00A86807"/>
    <w:rsid w:val="00A91E5A"/>
    <w:rsid w:val="00A95BC7"/>
    <w:rsid w:val="00A96526"/>
    <w:rsid w:val="00AA1507"/>
    <w:rsid w:val="00AA1C20"/>
    <w:rsid w:val="00AA2836"/>
    <w:rsid w:val="00AA3B03"/>
    <w:rsid w:val="00AA4031"/>
    <w:rsid w:val="00AA49F9"/>
    <w:rsid w:val="00AB232A"/>
    <w:rsid w:val="00AB6B87"/>
    <w:rsid w:val="00AB6E24"/>
    <w:rsid w:val="00AC2D9F"/>
    <w:rsid w:val="00AC6891"/>
    <w:rsid w:val="00AD0806"/>
    <w:rsid w:val="00AD6D25"/>
    <w:rsid w:val="00AF218B"/>
    <w:rsid w:val="00AF621E"/>
    <w:rsid w:val="00AF65EC"/>
    <w:rsid w:val="00AF6D89"/>
    <w:rsid w:val="00B026EB"/>
    <w:rsid w:val="00B1320A"/>
    <w:rsid w:val="00B13538"/>
    <w:rsid w:val="00B14489"/>
    <w:rsid w:val="00B16130"/>
    <w:rsid w:val="00B16134"/>
    <w:rsid w:val="00B16C2E"/>
    <w:rsid w:val="00B24094"/>
    <w:rsid w:val="00B247DC"/>
    <w:rsid w:val="00B26C59"/>
    <w:rsid w:val="00B31452"/>
    <w:rsid w:val="00B37B9B"/>
    <w:rsid w:val="00B40CF3"/>
    <w:rsid w:val="00B412C0"/>
    <w:rsid w:val="00B46BF4"/>
    <w:rsid w:val="00B473B8"/>
    <w:rsid w:val="00B53B27"/>
    <w:rsid w:val="00B62A98"/>
    <w:rsid w:val="00B66C4F"/>
    <w:rsid w:val="00B7008D"/>
    <w:rsid w:val="00B71103"/>
    <w:rsid w:val="00B74E65"/>
    <w:rsid w:val="00B83610"/>
    <w:rsid w:val="00B9655E"/>
    <w:rsid w:val="00BA4868"/>
    <w:rsid w:val="00BA5A5C"/>
    <w:rsid w:val="00BA5C45"/>
    <w:rsid w:val="00BB6BC5"/>
    <w:rsid w:val="00BC75E7"/>
    <w:rsid w:val="00BC7858"/>
    <w:rsid w:val="00BD012B"/>
    <w:rsid w:val="00BD377A"/>
    <w:rsid w:val="00BD3D4A"/>
    <w:rsid w:val="00BD7189"/>
    <w:rsid w:val="00BE6B45"/>
    <w:rsid w:val="00BF038A"/>
    <w:rsid w:val="00BF065A"/>
    <w:rsid w:val="00BF07CE"/>
    <w:rsid w:val="00BF1E6C"/>
    <w:rsid w:val="00BF76AF"/>
    <w:rsid w:val="00BF7C88"/>
    <w:rsid w:val="00C03CE7"/>
    <w:rsid w:val="00C0446F"/>
    <w:rsid w:val="00C05140"/>
    <w:rsid w:val="00C10EFB"/>
    <w:rsid w:val="00C211B5"/>
    <w:rsid w:val="00C2120E"/>
    <w:rsid w:val="00C37BB4"/>
    <w:rsid w:val="00C41022"/>
    <w:rsid w:val="00C41A56"/>
    <w:rsid w:val="00C4501B"/>
    <w:rsid w:val="00C54514"/>
    <w:rsid w:val="00C57C28"/>
    <w:rsid w:val="00C57FF7"/>
    <w:rsid w:val="00C60DCB"/>
    <w:rsid w:val="00C62A44"/>
    <w:rsid w:val="00C64743"/>
    <w:rsid w:val="00C73175"/>
    <w:rsid w:val="00C74BB2"/>
    <w:rsid w:val="00C75EC2"/>
    <w:rsid w:val="00C8164B"/>
    <w:rsid w:val="00C906EE"/>
    <w:rsid w:val="00C93D10"/>
    <w:rsid w:val="00C93D97"/>
    <w:rsid w:val="00C95DC9"/>
    <w:rsid w:val="00CA4669"/>
    <w:rsid w:val="00CA4A10"/>
    <w:rsid w:val="00CB7948"/>
    <w:rsid w:val="00CC0E86"/>
    <w:rsid w:val="00CC36C9"/>
    <w:rsid w:val="00CC39FB"/>
    <w:rsid w:val="00CC5F81"/>
    <w:rsid w:val="00CD2C29"/>
    <w:rsid w:val="00CD3724"/>
    <w:rsid w:val="00CE62C7"/>
    <w:rsid w:val="00CF0008"/>
    <w:rsid w:val="00CF0D5A"/>
    <w:rsid w:val="00CF0F20"/>
    <w:rsid w:val="00D013FB"/>
    <w:rsid w:val="00D02A24"/>
    <w:rsid w:val="00D03807"/>
    <w:rsid w:val="00D03B86"/>
    <w:rsid w:val="00D057DA"/>
    <w:rsid w:val="00D061EE"/>
    <w:rsid w:val="00D10C48"/>
    <w:rsid w:val="00D11A08"/>
    <w:rsid w:val="00D134C1"/>
    <w:rsid w:val="00D13574"/>
    <w:rsid w:val="00D1494B"/>
    <w:rsid w:val="00D15469"/>
    <w:rsid w:val="00D17190"/>
    <w:rsid w:val="00D22DB4"/>
    <w:rsid w:val="00D315BF"/>
    <w:rsid w:val="00D35573"/>
    <w:rsid w:val="00D42CEE"/>
    <w:rsid w:val="00D463A9"/>
    <w:rsid w:val="00D47967"/>
    <w:rsid w:val="00D5158C"/>
    <w:rsid w:val="00D52140"/>
    <w:rsid w:val="00D603AC"/>
    <w:rsid w:val="00D60489"/>
    <w:rsid w:val="00D64740"/>
    <w:rsid w:val="00D7658D"/>
    <w:rsid w:val="00D779E1"/>
    <w:rsid w:val="00D85910"/>
    <w:rsid w:val="00D913CC"/>
    <w:rsid w:val="00D934BF"/>
    <w:rsid w:val="00D96275"/>
    <w:rsid w:val="00D97218"/>
    <w:rsid w:val="00DA3F42"/>
    <w:rsid w:val="00DA3FF3"/>
    <w:rsid w:val="00DA63AD"/>
    <w:rsid w:val="00DA6E1E"/>
    <w:rsid w:val="00DB2925"/>
    <w:rsid w:val="00DB5BD7"/>
    <w:rsid w:val="00DB5C55"/>
    <w:rsid w:val="00DB747E"/>
    <w:rsid w:val="00DC2108"/>
    <w:rsid w:val="00DC2D61"/>
    <w:rsid w:val="00DC3421"/>
    <w:rsid w:val="00DC65D0"/>
    <w:rsid w:val="00DC6839"/>
    <w:rsid w:val="00DD0127"/>
    <w:rsid w:val="00DD0833"/>
    <w:rsid w:val="00DD4AF7"/>
    <w:rsid w:val="00DE32A3"/>
    <w:rsid w:val="00DE4193"/>
    <w:rsid w:val="00DE4C22"/>
    <w:rsid w:val="00DE55C0"/>
    <w:rsid w:val="00DE6ACE"/>
    <w:rsid w:val="00DF51E5"/>
    <w:rsid w:val="00E010B0"/>
    <w:rsid w:val="00E01B94"/>
    <w:rsid w:val="00E04FC7"/>
    <w:rsid w:val="00E101C9"/>
    <w:rsid w:val="00E11F84"/>
    <w:rsid w:val="00E1361B"/>
    <w:rsid w:val="00E16C0F"/>
    <w:rsid w:val="00E17DB8"/>
    <w:rsid w:val="00E17DBE"/>
    <w:rsid w:val="00E20D9F"/>
    <w:rsid w:val="00E239C5"/>
    <w:rsid w:val="00E2452A"/>
    <w:rsid w:val="00E2563C"/>
    <w:rsid w:val="00E273B2"/>
    <w:rsid w:val="00E42C08"/>
    <w:rsid w:val="00E4399F"/>
    <w:rsid w:val="00E453FA"/>
    <w:rsid w:val="00E528DF"/>
    <w:rsid w:val="00E64545"/>
    <w:rsid w:val="00E65D90"/>
    <w:rsid w:val="00E67E03"/>
    <w:rsid w:val="00E7085D"/>
    <w:rsid w:val="00E70EE3"/>
    <w:rsid w:val="00E72038"/>
    <w:rsid w:val="00E80819"/>
    <w:rsid w:val="00E82230"/>
    <w:rsid w:val="00E86414"/>
    <w:rsid w:val="00E95EC3"/>
    <w:rsid w:val="00E963D7"/>
    <w:rsid w:val="00EA0468"/>
    <w:rsid w:val="00EA276A"/>
    <w:rsid w:val="00EA405E"/>
    <w:rsid w:val="00EA5FC5"/>
    <w:rsid w:val="00EB1173"/>
    <w:rsid w:val="00EB47CA"/>
    <w:rsid w:val="00EB6E89"/>
    <w:rsid w:val="00EB78FB"/>
    <w:rsid w:val="00EC15AB"/>
    <w:rsid w:val="00EC2C39"/>
    <w:rsid w:val="00EC55FD"/>
    <w:rsid w:val="00EC65E1"/>
    <w:rsid w:val="00ED0476"/>
    <w:rsid w:val="00ED6D7C"/>
    <w:rsid w:val="00ED6DE2"/>
    <w:rsid w:val="00ED750D"/>
    <w:rsid w:val="00EE14B3"/>
    <w:rsid w:val="00EE3722"/>
    <w:rsid w:val="00EE4B80"/>
    <w:rsid w:val="00EE4D31"/>
    <w:rsid w:val="00EE525D"/>
    <w:rsid w:val="00EF15CC"/>
    <w:rsid w:val="00EF3102"/>
    <w:rsid w:val="00EF44D4"/>
    <w:rsid w:val="00F00E87"/>
    <w:rsid w:val="00F00FEC"/>
    <w:rsid w:val="00F02634"/>
    <w:rsid w:val="00F10B11"/>
    <w:rsid w:val="00F116B0"/>
    <w:rsid w:val="00F124D8"/>
    <w:rsid w:val="00F24752"/>
    <w:rsid w:val="00F25AC6"/>
    <w:rsid w:val="00F27106"/>
    <w:rsid w:val="00F32A38"/>
    <w:rsid w:val="00F343F1"/>
    <w:rsid w:val="00F429D1"/>
    <w:rsid w:val="00F52758"/>
    <w:rsid w:val="00F6396C"/>
    <w:rsid w:val="00F72242"/>
    <w:rsid w:val="00F756BD"/>
    <w:rsid w:val="00F77DF6"/>
    <w:rsid w:val="00F82C15"/>
    <w:rsid w:val="00F85F2B"/>
    <w:rsid w:val="00F8709A"/>
    <w:rsid w:val="00F90C27"/>
    <w:rsid w:val="00F915EF"/>
    <w:rsid w:val="00F960C0"/>
    <w:rsid w:val="00F96964"/>
    <w:rsid w:val="00FA715D"/>
    <w:rsid w:val="00FB161C"/>
    <w:rsid w:val="00FC0624"/>
    <w:rsid w:val="00FC135F"/>
    <w:rsid w:val="00FC2BA7"/>
    <w:rsid w:val="00FC5156"/>
    <w:rsid w:val="00FC7905"/>
    <w:rsid w:val="00FC7AA3"/>
    <w:rsid w:val="00FD00D6"/>
    <w:rsid w:val="00FD3CFE"/>
    <w:rsid w:val="00FD4BBA"/>
    <w:rsid w:val="00FD4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colormru v:ext="edit" colors="#bcd8d3,#016d9e"/>
    </o:shapedefaults>
    <o:shapelayout v:ext="edit">
      <o:idmap v:ext="edit" data="2"/>
    </o:shapelayout>
  </w:shapeDefaults>
  <w:decimalSymbol w:val=","/>
  <w:listSeparator w:val=";"/>
  <w14:docId w14:val="0ECA4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List Bullet" w:qFormat="1"/>
    <w:lsdException w:name="List Number" w:uiPriority="22" w:qFormat="1"/>
    <w:lsdException w:name="List Bullet 2" w:qFormat="1"/>
    <w:lsdException w:name="List Number 2" w:uiPriority="23"/>
    <w:lsdException w:name="List Number 3" w:uiPriority="24"/>
    <w:lsdException w:name="List Number 4" w:uiPriority="24"/>
    <w:lsdException w:name="List Number 5" w:uiPriority="24"/>
    <w:lsdException w:name="Hyperlink"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B161C"/>
    <w:pPr>
      <w:spacing w:before="60" w:line="260" w:lineRule="atLeast"/>
      <w:ind w:firstLine="357"/>
      <w:jc w:val="both"/>
    </w:pPr>
    <w:rPr>
      <w:rFonts w:ascii="Arial" w:hAnsi="Arial" w:cs="Arial"/>
      <w:lang w:eastAsia="en-US"/>
    </w:rPr>
  </w:style>
  <w:style w:type="paragraph" w:styleId="Nadpis1">
    <w:name w:val="heading 1"/>
    <w:aliases w:val="Heading 1 EV"/>
    <w:basedOn w:val="Normln"/>
    <w:next w:val="Normln"/>
    <w:rsid w:val="00F10B11"/>
    <w:pPr>
      <w:keepNext/>
      <w:spacing w:after="240" w:line="120" w:lineRule="atLeast"/>
      <w:ind w:firstLine="0"/>
      <w:outlineLvl w:val="0"/>
    </w:pPr>
    <w:rPr>
      <w:b/>
      <w:color w:val="ED1C24"/>
      <w:sz w:val="36"/>
    </w:rPr>
  </w:style>
  <w:style w:type="paragraph" w:styleId="Nadpis2">
    <w:name w:val="heading 2"/>
    <w:aliases w:val="Heading 2 EV"/>
    <w:basedOn w:val="Normln"/>
    <w:next w:val="Normln"/>
    <w:rsid w:val="008020C9"/>
    <w:pPr>
      <w:keepNext/>
      <w:spacing w:before="240" w:line="320" w:lineRule="atLeast"/>
      <w:ind w:firstLine="0"/>
      <w:outlineLvl w:val="1"/>
    </w:pPr>
    <w:rPr>
      <w:b/>
      <w:color w:val="91212A" w:themeColor="accent2"/>
      <w:sz w:val="28"/>
    </w:rPr>
  </w:style>
  <w:style w:type="paragraph" w:styleId="Nadpis3">
    <w:name w:val="heading 3"/>
    <w:aliases w:val="Heading 3 EV"/>
    <w:basedOn w:val="Normln"/>
    <w:next w:val="Normln"/>
    <w:rsid w:val="00DA3FF3"/>
    <w:pPr>
      <w:keepNext/>
      <w:spacing w:before="240" w:line="320" w:lineRule="atLeast"/>
      <w:ind w:firstLine="0"/>
      <w:outlineLvl w:val="2"/>
    </w:pPr>
    <w:rPr>
      <w:b/>
      <w:sz w:val="28"/>
    </w:rPr>
  </w:style>
  <w:style w:type="paragraph" w:styleId="Nadpis4">
    <w:name w:val="heading 4"/>
    <w:aliases w:val="Heading 4 EV"/>
    <w:basedOn w:val="Normln"/>
    <w:next w:val="Normln"/>
    <w:rsid w:val="00DA3FF3"/>
    <w:pPr>
      <w:keepNext/>
      <w:numPr>
        <w:ilvl w:val="3"/>
        <w:numId w:val="5"/>
      </w:numPr>
      <w:spacing w:before="240" w:after="60" w:line="320" w:lineRule="atLeast"/>
      <w:outlineLvl w:val="3"/>
    </w:pPr>
    <w:rPr>
      <w:b/>
      <w:i/>
      <w:sz w:val="24"/>
    </w:rPr>
  </w:style>
  <w:style w:type="paragraph" w:styleId="Nadpis5">
    <w:name w:val="heading 5"/>
    <w:basedOn w:val="Normln"/>
    <w:next w:val="Normln"/>
    <w:rsid w:val="00FC0624"/>
    <w:pPr>
      <w:keepNext/>
      <w:numPr>
        <w:ilvl w:val="4"/>
        <w:numId w:val="5"/>
      </w:numPr>
      <w:outlineLvl w:val="4"/>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ase">
    <w:name w:val="Base"/>
    <w:pPr>
      <w:spacing w:line="200" w:lineRule="atLeast"/>
    </w:pPr>
    <w:rPr>
      <w:rFonts w:ascii="Arial" w:hAnsi="Arial" w:cs="Arial"/>
      <w:sz w:val="16"/>
      <w:lang w:eastAsia="en-US"/>
    </w:rPr>
  </w:style>
  <w:style w:type="paragraph" w:customStyle="1" w:styleId="LegalcopyEV">
    <w:name w:val="Legal copy EV"/>
    <w:basedOn w:val="Base"/>
    <w:rsid w:val="007D6566"/>
    <w:pPr>
      <w:framePr w:hSpace="187" w:vSpace="187" w:wrap="around" w:hAnchor="text" w:yAlign="bottom"/>
      <w:spacing w:before="40" w:line="140" w:lineRule="atLeast"/>
    </w:pPr>
    <w:rPr>
      <w:sz w:val="12"/>
    </w:rPr>
  </w:style>
  <w:style w:type="character" w:styleId="slostrnky">
    <w:name w:val="page number"/>
    <w:rsid w:val="00C73175"/>
    <w:rPr>
      <w:rFonts w:ascii="Arial" w:hAnsi="Arial" w:cs="Arial"/>
      <w:b w:val="0"/>
      <w:i w:val="0"/>
      <w:caps w:val="0"/>
      <w:smallCaps w:val="0"/>
      <w:vanish w:val="0"/>
      <w:sz w:val="20"/>
      <w:u w:val="none"/>
    </w:rPr>
  </w:style>
  <w:style w:type="paragraph" w:customStyle="1" w:styleId="Filestamp">
    <w:name w:val="Filestamp"/>
    <w:basedOn w:val="Base"/>
    <w:rsid w:val="00825EA2"/>
    <w:pPr>
      <w:spacing w:line="120" w:lineRule="atLeast"/>
    </w:pPr>
    <w:rPr>
      <w:noProof/>
      <w:sz w:val="12"/>
    </w:rPr>
  </w:style>
  <w:style w:type="paragraph" w:styleId="Textpoznpodarou">
    <w:name w:val="footnote text"/>
    <w:basedOn w:val="Normln"/>
    <w:link w:val="TextpoznpodarouChar"/>
    <w:uiPriority w:val="99"/>
    <w:semiHidden/>
    <w:pPr>
      <w:spacing w:after="120"/>
    </w:pPr>
    <w:rPr>
      <w:sz w:val="18"/>
    </w:rPr>
  </w:style>
  <w:style w:type="paragraph" w:customStyle="1" w:styleId="LetterDateEV">
    <w:name w:val="Letter Date EV"/>
    <w:basedOn w:val="Base"/>
    <w:next w:val="Normln"/>
    <w:rsid w:val="00967E80"/>
    <w:pPr>
      <w:spacing w:after="680" w:line="360" w:lineRule="atLeast"/>
    </w:pPr>
    <w:rPr>
      <w:caps/>
      <w:sz w:val="28"/>
    </w:rPr>
  </w:style>
  <w:style w:type="paragraph" w:customStyle="1" w:styleId="TableLogoText">
    <w:name w:val="Table Logo Text"/>
    <w:basedOn w:val="Base"/>
    <w:pPr>
      <w:spacing w:line="240" w:lineRule="auto"/>
    </w:pPr>
    <w:rPr>
      <w:sz w:val="24"/>
    </w:rPr>
  </w:style>
  <w:style w:type="paragraph" w:customStyle="1" w:styleId="ReportTitleEV">
    <w:name w:val="Report Title EV"/>
    <w:basedOn w:val="Base"/>
    <w:next w:val="Normln"/>
    <w:rsid w:val="00685334"/>
    <w:pPr>
      <w:spacing w:before="300" w:line="440" w:lineRule="atLeast"/>
    </w:pPr>
    <w:rPr>
      <w:b/>
      <w:caps/>
      <w:sz w:val="44"/>
    </w:rPr>
  </w:style>
  <w:style w:type="paragraph" w:customStyle="1" w:styleId="ClientNameEV">
    <w:name w:val="Client Name EV"/>
    <w:basedOn w:val="Base"/>
    <w:rsid w:val="00685334"/>
    <w:pPr>
      <w:spacing w:line="440" w:lineRule="atLeast"/>
    </w:pPr>
    <w:rPr>
      <w:caps/>
      <w:sz w:val="44"/>
    </w:rPr>
  </w:style>
  <w:style w:type="paragraph" w:customStyle="1" w:styleId="ReportCrossRef">
    <w:name w:val="Report Cross Ref"/>
    <w:basedOn w:val="Base"/>
    <w:rsid w:val="00A06CBA"/>
    <w:rPr>
      <w:b/>
      <w:caps/>
    </w:rPr>
  </w:style>
  <w:style w:type="paragraph" w:customStyle="1" w:styleId="ClientNameCrossRef">
    <w:name w:val="Client Name Cross Ref"/>
    <w:basedOn w:val="Base"/>
    <w:rsid w:val="000C6910"/>
    <w:rPr>
      <w:caps/>
    </w:rPr>
  </w:style>
  <w:style w:type="paragraph" w:styleId="Obsah1">
    <w:name w:val="toc 1"/>
    <w:basedOn w:val="Normln"/>
    <w:next w:val="Normln"/>
    <w:uiPriority w:val="39"/>
    <w:rsid w:val="006703DB"/>
    <w:pPr>
      <w:numPr>
        <w:numId w:val="10"/>
      </w:numPr>
      <w:tabs>
        <w:tab w:val="left" w:pos="432"/>
        <w:tab w:val="right" w:leader="dot" w:pos="8640"/>
      </w:tabs>
      <w:spacing w:before="300" w:line="300" w:lineRule="exact"/>
    </w:pPr>
    <w:rPr>
      <w:b/>
      <w:noProof/>
      <w:color w:val="8A6552" w:themeColor="accent3"/>
      <w:sz w:val="24"/>
    </w:rPr>
  </w:style>
  <w:style w:type="paragraph" w:styleId="Obsah2">
    <w:name w:val="toc 2"/>
    <w:basedOn w:val="Normln"/>
    <w:next w:val="Normln"/>
    <w:uiPriority w:val="39"/>
    <w:rsid w:val="0084444A"/>
    <w:pPr>
      <w:tabs>
        <w:tab w:val="left" w:pos="720"/>
        <w:tab w:val="right" w:leader="dot" w:pos="8640"/>
      </w:tabs>
      <w:spacing w:line="300" w:lineRule="exact"/>
      <w:ind w:firstLine="0"/>
    </w:pPr>
    <w:rPr>
      <w:noProof/>
    </w:rPr>
  </w:style>
  <w:style w:type="paragraph" w:customStyle="1" w:styleId="SectionIntro">
    <w:name w:val="Section Intro"/>
    <w:basedOn w:val="Normln"/>
    <w:pPr>
      <w:spacing w:line="240" w:lineRule="auto"/>
    </w:pPr>
    <w:rPr>
      <w:sz w:val="28"/>
    </w:rPr>
  </w:style>
  <w:style w:type="paragraph" w:customStyle="1" w:styleId="AppendixStart">
    <w:name w:val="Appendix Start"/>
    <w:basedOn w:val="Normln"/>
    <w:next w:val="AppendixHeading1"/>
    <w:rsid w:val="00751992"/>
    <w:pPr>
      <w:keepNext/>
      <w:pageBreakBefore/>
      <w:numPr>
        <w:numId w:val="1"/>
      </w:numPr>
      <w:pBdr>
        <w:bottom w:val="single" w:sz="12" w:space="0" w:color="00A8C8"/>
      </w:pBdr>
      <w:spacing w:after="360" w:line="240" w:lineRule="auto"/>
    </w:pPr>
    <w:rPr>
      <w:caps/>
      <w:color w:val="00A8C8"/>
      <w:sz w:val="48"/>
    </w:rPr>
  </w:style>
  <w:style w:type="paragraph" w:styleId="Nadpispoznmky">
    <w:name w:val="Note Heading"/>
    <w:basedOn w:val="Normln"/>
    <w:next w:val="NoteText"/>
    <w:rsid w:val="0085297B"/>
    <w:pPr>
      <w:spacing w:before="200" w:line="200" w:lineRule="atLeast"/>
    </w:pPr>
    <w:rPr>
      <w:caps/>
      <w:sz w:val="18"/>
    </w:rPr>
  </w:style>
  <w:style w:type="paragraph" w:customStyle="1" w:styleId="NoteText">
    <w:name w:val="Note Text"/>
    <w:basedOn w:val="Normln"/>
    <w:pPr>
      <w:spacing w:line="200" w:lineRule="atLeast"/>
    </w:pPr>
    <w:rPr>
      <w:sz w:val="18"/>
    </w:rPr>
  </w:style>
  <w:style w:type="character" w:styleId="Znakapoznpodarou">
    <w:name w:val="footnote reference"/>
    <w:uiPriority w:val="99"/>
    <w:semiHidden/>
    <w:rPr>
      <w:vertAlign w:val="superscript"/>
    </w:rPr>
  </w:style>
  <w:style w:type="paragraph" w:customStyle="1" w:styleId="SectionStartEV">
    <w:name w:val="Section Start EV"/>
    <w:basedOn w:val="Normln"/>
    <w:next w:val="Nadpis1"/>
    <w:qFormat/>
    <w:rsid w:val="00A81C48"/>
    <w:pPr>
      <w:keepNext/>
      <w:pageBreakBefore/>
      <w:framePr w:w="9639" w:h="1134" w:hRule="exact" w:vSpace="284" w:wrap="around" w:hAnchor="margin" w:y="1"/>
      <w:numPr>
        <w:numId w:val="12"/>
      </w:numPr>
      <w:pBdr>
        <w:bottom w:val="single" w:sz="12" w:space="0" w:color="8A6552" w:themeColor="accent3"/>
      </w:pBdr>
      <w:spacing w:line="240" w:lineRule="auto"/>
    </w:pPr>
    <w:rPr>
      <w:color w:val="91212A" w:themeColor="accent2"/>
      <w:sz w:val="72"/>
    </w:rPr>
  </w:style>
  <w:style w:type="paragraph" w:customStyle="1" w:styleId="AddressBlock">
    <w:name w:val="Address Block"/>
    <w:basedOn w:val="Base"/>
    <w:rsid w:val="00482AD1"/>
    <w:pPr>
      <w:spacing w:line="180" w:lineRule="atLeast"/>
    </w:pPr>
  </w:style>
  <w:style w:type="paragraph" w:customStyle="1" w:styleId="TOCHeadingEV">
    <w:name w:val="TOC Heading EV"/>
    <w:basedOn w:val="Base"/>
    <w:next w:val="Normln"/>
    <w:rsid w:val="00C74BB2"/>
    <w:pPr>
      <w:spacing w:line="360" w:lineRule="atLeast"/>
    </w:pPr>
    <w:rPr>
      <w:caps/>
      <w:color w:val="8A6552" w:themeColor="accent3"/>
      <w:sz w:val="36"/>
    </w:rPr>
  </w:style>
  <w:style w:type="paragraph" w:styleId="Obsah3">
    <w:name w:val="toc 3"/>
    <w:basedOn w:val="Normln"/>
    <w:next w:val="Normln"/>
    <w:uiPriority w:val="39"/>
    <w:rsid w:val="0084444A"/>
    <w:pPr>
      <w:tabs>
        <w:tab w:val="left" w:pos="864"/>
        <w:tab w:val="left" w:pos="1170"/>
        <w:tab w:val="right" w:leader="dot" w:pos="8640"/>
      </w:tabs>
      <w:spacing w:line="300" w:lineRule="exact"/>
      <w:ind w:firstLine="0"/>
    </w:pPr>
  </w:style>
  <w:style w:type="paragraph" w:styleId="Zhlav">
    <w:name w:val="header"/>
    <w:basedOn w:val="Normln"/>
    <w:pPr>
      <w:tabs>
        <w:tab w:val="center" w:pos="4320"/>
        <w:tab w:val="right" w:pos="8640"/>
      </w:tabs>
    </w:pPr>
  </w:style>
  <w:style w:type="paragraph" w:styleId="Zpat">
    <w:name w:val="footer"/>
    <w:aliases w:val="Footer EV"/>
    <w:basedOn w:val="Normln"/>
    <w:link w:val="ZpatChar"/>
    <w:uiPriority w:val="99"/>
    <w:rsid w:val="00C74BB2"/>
    <w:pPr>
      <w:tabs>
        <w:tab w:val="center" w:pos="4320"/>
        <w:tab w:val="right" w:pos="8640"/>
      </w:tabs>
    </w:pPr>
  </w:style>
  <w:style w:type="paragraph" w:customStyle="1" w:styleId="AppendixHeading1">
    <w:name w:val="Appendix Heading 1"/>
    <w:basedOn w:val="Normln"/>
    <w:next w:val="Normln"/>
    <w:rsid w:val="00751992"/>
    <w:pPr>
      <w:keepNext/>
      <w:spacing w:line="400" w:lineRule="atLeast"/>
      <w:outlineLvl w:val="0"/>
    </w:pPr>
    <w:rPr>
      <w:color w:val="002C77"/>
      <w:sz w:val="36"/>
    </w:rPr>
  </w:style>
  <w:style w:type="paragraph" w:styleId="Obsah9">
    <w:name w:val="toc 9"/>
    <w:basedOn w:val="Normln"/>
    <w:next w:val="Normln"/>
    <w:rsid w:val="0020369F"/>
    <w:pPr>
      <w:numPr>
        <w:numId w:val="2"/>
      </w:numPr>
      <w:tabs>
        <w:tab w:val="left" w:pos="1361"/>
        <w:tab w:val="right" w:leader="dot" w:pos="8641"/>
      </w:tabs>
      <w:spacing w:before="240"/>
    </w:pPr>
    <w:rPr>
      <w:noProof/>
    </w:rPr>
  </w:style>
  <w:style w:type="paragraph" w:styleId="Obsah4">
    <w:name w:val="toc 4"/>
    <w:basedOn w:val="Normln"/>
    <w:next w:val="Normln"/>
    <w:rsid w:val="007F57BC"/>
    <w:pPr>
      <w:numPr>
        <w:numId w:val="3"/>
      </w:numPr>
      <w:tabs>
        <w:tab w:val="right" w:leader="dot" w:pos="8640"/>
      </w:tabs>
      <w:spacing w:line="300" w:lineRule="exact"/>
    </w:pPr>
  </w:style>
  <w:style w:type="paragraph" w:customStyle="1" w:styleId="AppendixHeading2">
    <w:name w:val="Appendix Heading 2"/>
    <w:basedOn w:val="Normln"/>
    <w:next w:val="Normln"/>
    <w:rsid w:val="00FC0624"/>
    <w:pPr>
      <w:keepNext/>
      <w:numPr>
        <w:ilvl w:val="1"/>
        <w:numId w:val="5"/>
      </w:numPr>
      <w:spacing w:line="320" w:lineRule="atLeast"/>
      <w:outlineLvl w:val="1"/>
    </w:pPr>
    <w:rPr>
      <w:b/>
      <w:sz w:val="28"/>
    </w:rPr>
  </w:style>
  <w:style w:type="paragraph" w:customStyle="1" w:styleId="AppendixHeading3">
    <w:name w:val="Appendix Heading 3"/>
    <w:basedOn w:val="Normln"/>
    <w:next w:val="Normln"/>
    <w:rsid w:val="00FC0624"/>
    <w:pPr>
      <w:keepNext/>
      <w:numPr>
        <w:ilvl w:val="2"/>
        <w:numId w:val="5"/>
      </w:numPr>
      <w:spacing w:line="320" w:lineRule="atLeast"/>
      <w:outlineLvl w:val="2"/>
    </w:pPr>
    <w:rPr>
      <w:b/>
      <w:i/>
      <w:sz w:val="28"/>
    </w:rPr>
  </w:style>
  <w:style w:type="table" w:styleId="Mkatabulky">
    <w:name w:val="Table Grid"/>
    <w:aliases w:val="Eurovalley borderless"/>
    <w:basedOn w:val="Klasicktabulka1"/>
    <w:rsid w:val="009165C3"/>
    <w:pPr>
      <w:spacing w:line="270" w:lineRule="exact"/>
    </w:pPr>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ogo">
    <w:name w:val="Logo"/>
    <w:basedOn w:val="Normln"/>
    <w:rsid w:val="009B6793"/>
    <w:pPr>
      <w:spacing w:line="560" w:lineRule="exact"/>
      <w:jc w:val="center"/>
    </w:pPr>
    <w:rPr>
      <w:sz w:val="16"/>
      <w:szCs w:val="16"/>
    </w:rPr>
  </w:style>
  <w:style w:type="paragraph" w:customStyle="1" w:styleId="CompanyName">
    <w:name w:val="Company Name"/>
    <w:basedOn w:val="ClientNameCrossRef"/>
    <w:rsid w:val="000C6910"/>
    <w:rPr>
      <w:caps w:val="0"/>
    </w:rPr>
  </w:style>
  <w:style w:type="paragraph" w:customStyle="1" w:styleId="BaseBold">
    <w:name w:val="Base Bold"/>
    <w:next w:val="Base"/>
    <w:rsid w:val="00FC0624"/>
    <w:pPr>
      <w:spacing w:line="200" w:lineRule="atLeast"/>
    </w:pPr>
    <w:rPr>
      <w:rFonts w:ascii="Arial" w:hAnsi="Arial" w:cs="Arial"/>
      <w:b/>
      <w:sz w:val="16"/>
      <w:lang w:eastAsia="en-US"/>
    </w:rPr>
  </w:style>
  <w:style w:type="paragraph" w:customStyle="1" w:styleId="LogoHide">
    <w:name w:val="Logo Hide"/>
    <w:basedOn w:val="Base"/>
    <w:next w:val="Base"/>
    <w:rsid w:val="00FC0624"/>
    <w:pPr>
      <w:spacing w:line="20" w:lineRule="exact"/>
      <w:jc w:val="right"/>
    </w:pPr>
    <w:rPr>
      <w:noProof/>
      <w:sz w:val="2"/>
    </w:rPr>
  </w:style>
  <w:style w:type="paragraph" w:customStyle="1" w:styleId="LogoHide2">
    <w:name w:val="Logo Hide 2"/>
    <w:basedOn w:val="Base"/>
    <w:next w:val="Base"/>
    <w:rsid w:val="00FC0624"/>
    <w:pPr>
      <w:jc w:val="right"/>
    </w:pPr>
    <w:rPr>
      <w:noProof/>
    </w:rPr>
  </w:style>
  <w:style w:type="character" w:customStyle="1" w:styleId="TextHide">
    <w:name w:val="Text Hide"/>
    <w:rsid w:val="00FC0624"/>
    <w:rPr>
      <w:sz w:val="22"/>
      <w:szCs w:val="20"/>
    </w:rPr>
  </w:style>
  <w:style w:type="paragraph" w:styleId="Seznamsodrkami">
    <w:name w:val="List Bullet"/>
    <w:aliases w:val="List Bullet EV"/>
    <w:basedOn w:val="Normln"/>
    <w:qFormat/>
    <w:rsid w:val="002910B3"/>
    <w:pPr>
      <w:keepNext/>
      <w:keepLines/>
      <w:numPr>
        <w:numId w:val="21"/>
      </w:numPr>
      <w:spacing w:line="340" w:lineRule="atLeast"/>
      <w:outlineLvl w:val="4"/>
    </w:pPr>
  </w:style>
  <w:style w:type="paragraph" w:styleId="Seznamsodrkami2">
    <w:name w:val="List Bullet 2"/>
    <w:aliases w:val="Seznam s odrážkami 2 EV"/>
    <w:basedOn w:val="Normln"/>
    <w:qFormat/>
    <w:rsid w:val="00ED6DE2"/>
    <w:pPr>
      <w:keepLines/>
      <w:numPr>
        <w:numId w:val="31"/>
      </w:numPr>
      <w:ind w:left="714" w:hanging="357"/>
      <w:outlineLvl w:val="5"/>
    </w:pPr>
  </w:style>
  <w:style w:type="paragraph" w:styleId="Seznamsodrkami3">
    <w:name w:val="List Bullet 3"/>
    <w:basedOn w:val="Normln"/>
    <w:rsid w:val="00FC0624"/>
    <w:pPr>
      <w:numPr>
        <w:ilvl w:val="6"/>
        <w:numId w:val="4"/>
      </w:numPr>
      <w:outlineLvl w:val="6"/>
    </w:pPr>
  </w:style>
  <w:style w:type="paragraph" w:styleId="Seznamsodrkami4">
    <w:name w:val="List Bullet 4"/>
    <w:basedOn w:val="Normln"/>
    <w:rsid w:val="00FC0624"/>
    <w:pPr>
      <w:numPr>
        <w:ilvl w:val="7"/>
        <w:numId w:val="4"/>
      </w:numPr>
      <w:outlineLvl w:val="7"/>
    </w:pPr>
  </w:style>
  <w:style w:type="paragraph" w:customStyle="1" w:styleId="TableBullet1">
    <w:name w:val="Table Bullet 1"/>
    <w:basedOn w:val="Normln"/>
    <w:rsid w:val="00FC0624"/>
    <w:pPr>
      <w:numPr>
        <w:ilvl w:val="4"/>
        <w:numId w:val="6"/>
      </w:numPr>
      <w:spacing w:before="40" w:after="40" w:line="240" w:lineRule="auto"/>
      <w:outlineLvl w:val="4"/>
    </w:pPr>
  </w:style>
  <w:style w:type="paragraph" w:customStyle="1" w:styleId="TableBullet2">
    <w:name w:val="Table Bullet 2"/>
    <w:basedOn w:val="Normln"/>
    <w:rsid w:val="00FC0624"/>
    <w:pPr>
      <w:numPr>
        <w:ilvl w:val="5"/>
        <w:numId w:val="6"/>
      </w:numPr>
      <w:spacing w:before="40" w:after="40" w:line="240" w:lineRule="auto"/>
      <w:outlineLvl w:val="5"/>
    </w:pPr>
  </w:style>
  <w:style w:type="paragraph" w:customStyle="1" w:styleId="TableBullet3">
    <w:name w:val="Table Bullet 3"/>
    <w:basedOn w:val="Normln"/>
    <w:rsid w:val="00FC0624"/>
    <w:pPr>
      <w:numPr>
        <w:ilvl w:val="6"/>
        <w:numId w:val="6"/>
      </w:numPr>
      <w:spacing w:before="40" w:after="40" w:line="240" w:lineRule="auto"/>
      <w:outlineLvl w:val="6"/>
    </w:pPr>
  </w:style>
  <w:style w:type="paragraph" w:customStyle="1" w:styleId="TableBullet4">
    <w:name w:val="Table Bullet 4"/>
    <w:basedOn w:val="Normln"/>
    <w:rsid w:val="00FC0624"/>
    <w:pPr>
      <w:numPr>
        <w:ilvl w:val="7"/>
        <w:numId w:val="6"/>
      </w:numPr>
      <w:spacing w:before="40" w:after="40" w:line="240" w:lineRule="auto"/>
      <w:outlineLvl w:val="7"/>
    </w:pPr>
  </w:style>
  <w:style w:type="paragraph" w:styleId="slovanseznam">
    <w:name w:val="List Number"/>
    <w:aliases w:val="Číslovaný seznam EV"/>
    <w:basedOn w:val="Normln"/>
    <w:uiPriority w:val="22"/>
    <w:qFormat/>
    <w:rsid w:val="004F0859"/>
    <w:pPr>
      <w:numPr>
        <w:numId w:val="33"/>
      </w:numPr>
      <w:outlineLvl w:val="5"/>
    </w:pPr>
  </w:style>
  <w:style w:type="paragraph" w:styleId="slovanseznam3">
    <w:name w:val="List Number 3"/>
    <w:basedOn w:val="Normln"/>
    <w:uiPriority w:val="24"/>
    <w:rsid w:val="00FC0624"/>
    <w:pPr>
      <w:numPr>
        <w:ilvl w:val="7"/>
        <w:numId w:val="7"/>
      </w:numPr>
      <w:outlineLvl w:val="7"/>
    </w:pPr>
  </w:style>
  <w:style w:type="paragraph" w:styleId="slovanseznam4">
    <w:name w:val="List Number 4"/>
    <w:basedOn w:val="Normln"/>
    <w:uiPriority w:val="24"/>
    <w:rsid w:val="00FC0624"/>
    <w:pPr>
      <w:numPr>
        <w:ilvl w:val="8"/>
        <w:numId w:val="7"/>
      </w:numPr>
      <w:outlineLvl w:val="8"/>
    </w:pPr>
  </w:style>
  <w:style w:type="paragraph" w:customStyle="1" w:styleId="NormalIndent1">
    <w:name w:val="Normal Indent 1"/>
    <w:basedOn w:val="Normln"/>
    <w:rsid w:val="00FC0624"/>
    <w:pPr>
      <w:ind w:left="360"/>
      <w:jc w:val="right"/>
    </w:pPr>
  </w:style>
  <w:style w:type="paragraph" w:customStyle="1" w:styleId="NormalIndent2">
    <w:name w:val="Normal Indent 2"/>
    <w:basedOn w:val="Normln"/>
    <w:rsid w:val="00FC0624"/>
    <w:pPr>
      <w:ind w:left="720"/>
      <w:jc w:val="right"/>
    </w:pPr>
  </w:style>
  <w:style w:type="paragraph" w:customStyle="1" w:styleId="NormalIndent3">
    <w:name w:val="Normal Indent 3"/>
    <w:basedOn w:val="Normln"/>
    <w:rsid w:val="00FC0624"/>
    <w:pPr>
      <w:ind w:left="1080"/>
      <w:jc w:val="right"/>
    </w:pPr>
  </w:style>
  <w:style w:type="paragraph" w:customStyle="1" w:styleId="NormalIndent4">
    <w:name w:val="Normal Indent 4"/>
    <w:basedOn w:val="Normln"/>
    <w:rsid w:val="00FC0624"/>
    <w:pPr>
      <w:ind w:left="1440"/>
      <w:jc w:val="right"/>
    </w:pPr>
  </w:style>
  <w:style w:type="paragraph" w:customStyle="1" w:styleId="TableHeadingTextEV">
    <w:name w:val="Table Heading Text EV"/>
    <w:basedOn w:val="Normln"/>
    <w:rsid w:val="00EB1173"/>
    <w:pPr>
      <w:keepNext/>
      <w:spacing w:before="40" w:after="40" w:line="240" w:lineRule="auto"/>
      <w:ind w:firstLine="0"/>
      <w:jc w:val="left"/>
    </w:pPr>
    <w:rPr>
      <w:bCs/>
      <w:color w:val="8A6552" w:themeColor="accent3"/>
      <w:sz w:val="18"/>
      <w:lang w:eastAsia="cs-CZ"/>
    </w:rPr>
  </w:style>
  <w:style w:type="paragraph" w:customStyle="1" w:styleId="TableTextEV">
    <w:name w:val="Table Text EV"/>
    <w:basedOn w:val="Normln"/>
    <w:qFormat/>
    <w:rsid w:val="00025951"/>
    <w:pPr>
      <w:spacing w:before="40" w:after="40" w:line="240" w:lineRule="auto"/>
      <w:ind w:firstLine="0"/>
      <w:jc w:val="left"/>
    </w:pPr>
    <w:rPr>
      <w:sz w:val="18"/>
    </w:rPr>
  </w:style>
  <w:style w:type="character" w:customStyle="1" w:styleId="ZpatChar">
    <w:name w:val="Zápatí Char"/>
    <w:aliases w:val="Footer EV Char"/>
    <w:link w:val="Zpat"/>
    <w:uiPriority w:val="99"/>
    <w:rsid w:val="00C74BB2"/>
    <w:rPr>
      <w:rFonts w:ascii="Arial" w:hAnsi="Arial" w:cs="Arial"/>
      <w:sz w:val="22"/>
      <w:lang w:eastAsia="en-US"/>
    </w:rPr>
  </w:style>
  <w:style w:type="character" w:styleId="Hypertextovodkaz">
    <w:name w:val="Hyperlink"/>
    <w:uiPriority w:val="99"/>
    <w:rsid w:val="00FC0624"/>
    <w:rPr>
      <w:color w:val="0000FF"/>
      <w:u w:val="single"/>
    </w:rPr>
  </w:style>
  <w:style w:type="paragraph" w:styleId="Zkladntext">
    <w:name w:val="Body Text"/>
    <w:basedOn w:val="Normln"/>
    <w:rsid w:val="00FC0624"/>
    <w:pPr>
      <w:spacing w:line="240" w:lineRule="auto"/>
    </w:pPr>
    <w:rPr>
      <w:sz w:val="24"/>
      <w:szCs w:val="24"/>
      <w:lang w:eastAsia="cs-CZ"/>
    </w:rPr>
  </w:style>
  <w:style w:type="paragraph" w:styleId="Zkladntextodsazen">
    <w:name w:val="Body Text Indent"/>
    <w:basedOn w:val="Normln"/>
    <w:link w:val="ZkladntextodsazenChar"/>
    <w:rsid w:val="00FC0624"/>
    <w:pPr>
      <w:spacing w:line="240" w:lineRule="auto"/>
      <w:ind w:left="60"/>
    </w:pPr>
    <w:rPr>
      <w:sz w:val="24"/>
      <w:szCs w:val="24"/>
      <w:lang w:eastAsia="cs-CZ"/>
    </w:rPr>
  </w:style>
  <w:style w:type="character" w:customStyle="1" w:styleId="ZkladntextodsazenChar">
    <w:name w:val="Základní text odsazený Char"/>
    <w:link w:val="Zkladntextodsazen"/>
    <w:rsid w:val="00FC0624"/>
    <w:rPr>
      <w:rFonts w:ascii="Arial" w:hAnsi="Arial" w:cs="Arial"/>
      <w:sz w:val="24"/>
      <w:szCs w:val="24"/>
      <w:lang w:val="cs-CZ" w:eastAsia="cs-CZ" w:bidi="ar-SA"/>
    </w:rPr>
  </w:style>
  <w:style w:type="paragraph" w:styleId="Odstavecseseznamem">
    <w:name w:val="List Paragraph"/>
    <w:aliases w:val="Nad,Odstavec_muj,Odstavec cíl se seznamem,Odstavec se seznamem5,Odrážky"/>
    <w:basedOn w:val="Normln"/>
    <w:link w:val="OdstavecseseznamemChar"/>
    <w:uiPriority w:val="34"/>
    <w:qFormat/>
    <w:rsid w:val="00FC0624"/>
    <w:pPr>
      <w:spacing w:line="240" w:lineRule="auto"/>
      <w:ind w:left="708"/>
    </w:pPr>
    <w:rPr>
      <w:rFonts w:ascii="Times New Roman" w:hAnsi="Times New Roman" w:cs="Times New Roman"/>
      <w:sz w:val="24"/>
      <w:szCs w:val="24"/>
      <w:lang w:eastAsia="cs-CZ"/>
    </w:rPr>
  </w:style>
  <w:style w:type="paragraph" w:styleId="Normlnweb">
    <w:name w:val="Normal (Web)"/>
    <w:basedOn w:val="Normln"/>
    <w:rsid w:val="00FC0624"/>
    <w:pPr>
      <w:spacing w:before="100" w:beforeAutospacing="1" w:after="119" w:line="240" w:lineRule="auto"/>
    </w:pPr>
    <w:rPr>
      <w:rFonts w:ascii="Arial Unicode MS" w:eastAsia="Arial Unicode MS" w:hAnsi="Arial Unicode MS" w:cs="Arial Unicode MS"/>
      <w:sz w:val="24"/>
      <w:szCs w:val="24"/>
      <w:lang w:eastAsia="cs-CZ"/>
    </w:rPr>
  </w:style>
  <w:style w:type="paragraph" w:styleId="Zkladntext3">
    <w:name w:val="Body Text 3"/>
    <w:basedOn w:val="Normln"/>
    <w:link w:val="Zkladntext3Char"/>
    <w:rsid w:val="00FC0624"/>
    <w:pPr>
      <w:spacing w:line="240" w:lineRule="auto"/>
    </w:pPr>
    <w:rPr>
      <w:rFonts w:ascii="Verdana" w:hAnsi="Verdana" w:cs="Times New Roman"/>
      <w:sz w:val="18"/>
      <w:szCs w:val="18"/>
      <w:lang w:eastAsia="cs-CZ"/>
    </w:rPr>
  </w:style>
  <w:style w:type="character" w:customStyle="1" w:styleId="Zkladntext3Char">
    <w:name w:val="Základní text 3 Char"/>
    <w:link w:val="Zkladntext3"/>
    <w:rsid w:val="00FC0624"/>
    <w:rPr>
      <w:rFonts w:ascii="Verdana" w:hAnsi="Verdana"/>
      <w:sz w:val="18"/>
      <w:szCs w:val="18"/>
      <w:lang w:val="cs-CZ" w:eastAsia="cs-CZ" w:bidi="ar-SA"/>
    </w:rPr>
  </w:style>
  <w:style w:type="paragraph" w:customStyle="1" w:styleId="Heading2NumberedEV">
    <w:name w:val="Heading 2 Numbered EV"/>
    <w:basedOn w:val="Nadpis2"/>
    <w:next w:val="Normln"/>
    <w:qFormat/>
    <w:rsid w:val="008A0887"/>
    <w:pPr>
      <w:numPr>
        <w:ilvl w:val="1"/>
        <w:numId w:val="12"/>
      </w:numPr>
      <w:spacing w:after="60" w:line="280" w:lineRule="atLeast"/>
      <w:ind w:right="584"/>
    </w:pPr>
    <w:rPr>
      <w:rFonts w:cs="Lucida Sans Unicode"/>
      <w:szCs w:val="12"/>
    </w:rPr>
  </w:style>
  <w:style w:type="table" w:styleId="Motivtabulky">
    <w:name w:val="Table Theme"/>
    <w:basedOn w:val="Normlntabulka"/>
    <w:rsid w:val="009165C3"/>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urovalleyHeadingNumbered">
    <w:name w:val="Eurovalley Heading Numbered"/>
    <w:uiPriority w:val="99"/>
    <w:rsid w:val="008A0887"/>
    <w:pPr>
      <w:numPr>
        <w:numId w:val="8"/>
      </w:numPr>
    </w:pPr>
  </w:style>
  <w:style w:type="paragraph" w:customStyle="1" w:styleId="Heading3NumberedEV">
    <w:name w:val="Heading 3 Numbered EV"/>
    <w:basedOn w:val="Nadpis3"/>
    <w:next w:val="Normln"/>
    <w:qFormat/>
    <w:rsid w:val="008A0887"/>
    <w:pPr>
      <w:numPr>
        <w:ilvl w:val="2"/>
        <w:numId w:val="12"/>
      </w:numPr>
    </w:pPr>
    <w:rPr>
      <w:i/>
    </w:rPr>
  </w:style>
  <w:style w:type="paragraph" w:customStyle="1" w:styleId="Heading4NumberedEV">
    <w:name w:val="Heading 4 Numbered EV"/>
    <w:basedOn w:val="Nadpis4"/>
    <w:next w:val="Normln"/>
    <w:qFormat/>
    <w:rsid w:val="008A0887"/>
    <w:pPr>
      <w:numPr>
        <w:numId w:val="12"/>
      </w:numPr>
      <w:spacing w:line="240" w:lineRule="atLeast"/>
    </w:pPr>
  </w:style>
  <w:style w:type="table" w:styleId="Webovtabulka2">
    <w:name w:val="Table Web 2"/>
    <w:basedOn w:val="Normlntabulka"/>
    <w:rsid w:val="009165C3"/>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TOCNumberingEV">
    <w:name w:val="TOC Numbering EV"/>
    <w:uiPriority w:val="99"/>
    <w:rsid w:val="00E17DB8"/>
    <w:pPr>
      <w:numPr>
        <w:numId w:val="9"/>
      </w:numPr>
    </w:pPr>
  </w:style>
  <w:style w:type="table" w:styleId="Klasicktabulka1">
    <w:name w:val="Table Classic 1"/>
    <w:basedOn w:val="Normlntabulka"/>
    <w:semiHidden/>
    <w:unhideWhenUsed/>
    <w:rsid w:val="009165C3"/>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mkou2zvraznn3">
    <w:name w:val="Grid Table 2 Accent 3"/>
    <w:basedOn w:val="Normlntabulka"/>
    <w:uiPriority w:val="47"/>
    <w:rsid w:val="008020C9"/>
    <w:tblPr>
      <w:tblStyleRowBandSize w:val="1"/>
      <w:tblStyleColBandSize w:val="1"/>
      <w:tblBorders>
        <w:top w:val="single" w:sz="2" w:space="0" w:color="BEA091" w:themeColor="accent3" w:themeTint="99"/>
        <w:bottom w:val="single" w:sz="2" w:space="0" w:color="BEA091" w:themeColor="accent3" w:themeTint="99"/>
        <w:insideH w:val="single" w:sz="2" w:space="0" w:color="BEA091" w:themeColor="accent3" w:themeTint="99"/>
        <w:insideV w:val="single" w:sz="2" w:space="0" w:color="BEA091" w:themeColor="accent3" w:themeTint="99"/>
      </w:tblBorders>
    </w:tblPr>
    <w:tblStylePr w:type="firstRow">
      <w:rPr>
        <w:b/>
        <w:bCs/>
      </w:rPr>
      <w:tblPr/>
      <w:tcPr>
        <w:tcBorders>
          <w:top w:val="nil"/>
          <w:bottom w:val="single" w:sz="12" w:space="0" w:color="BEA091" w:themeColor="accent3" w:themeTint="99"/>
          <w:insideH w:val="nil"/>
          <w:insideV w:val="nil"/>
        </w:tcBorders>
        <w:shd w:val="clear" w:color="auto" w:fill="FFFFFF" w:themeFill="background1"/>
      </w:tcPr>
    </w:tblStylePr>
    <w:tblStylePr w:type="lastRow">
      <w:rPr>
        <w:b/>
        <w:bCs/>
      </w:rPr>
      <w:tblPr/>
      <w:tcPr>
        <w:tcBorders>
          <w:top w:val="double" w:sz="2" w:space="0" w:color="BEA091"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DFDA" w:themeFill="accent3" w:themeFillTint="33"/>
      </w:tcPr>
    </w:tblStylePr>
    <w:tblStylePr w:type="band1Horz">
      <w:tblPr/>
      <w:tcPr>
        <w:shd w:val="clear" w:color="auto" w:fill="E9DFDA" w:themeFill="accent3" w:themeFillTint="33"/>
      </w:tcPr>
    </w:tblStylePr>
  </w:style>
  <w:style w:type="table" w:styleId="Tabulkasmkou2zvraznn2">
    <w:name w:val="Grid Table 2 Accent 2"/>
    <w:basedOn w:val="Normlntabulka"/>
    <w:uiPriority w:val="47"/>
    <w:rsid w:val="008020C9"/>
    <w:tblPr>
      <w:tblStyleRowBandSize w:val="1"/>
      <w:tblStyleColBandSize w:val="1"/>
      <w:tblBorders>
        <w:top w:val="single" w:sz="2" w:space="0" w:color="DA5C66" w:themeColor="accent2" w:themeTint="99"/>
        <w:bottom w:val="single" w:sz="2" w:space="0" w:color="DA5C66" w:themeColor="accent2" w:themeTint="99"/>
        <w:insideH w:val="single" w:sz="2" w:space="0" w:color="DA5C66" w:themeColor="accent2" w:themeTint="99"/>
        <w:insideV w:val="single" w:sz="2" w:space="0" w:color="DA5C66" w:themeColor="accent2" w:themeTint="99"/>
      </w:tblBorders>
    </w:tblPr>
    <w:tblStylePr w:type="firstRow">
      <w:rPr>
        <w:b/>
        <w:bCs/>
      </w:rPr>
      <w:tblPr/>
      <w:tcPr>
        <w:tcBorders>
          <w:top w:val="nil"/>
          <w:bottom w:val="single" w:sz="12" w:space="0" w:color="DA5C66" w:themeColor="accent2" w:themeTint="99"/>
          <w:insideH w:val="nil"/>
          <w:insideV w:val="nil"/>
        </w:tcBorders>
        <w:shd w:val="clear" w:color="auto" w:fill="FFFFFF" w:themeFill="background1"/>
      </w:tcPr>
    </w:tblStylePr>
    <w:tblStylePr w:type="lastRow">
      <w:rPr>
        <w:b/>
        <w:bCs/>
      </w:rPr>
      <w:tblPr/>
      <w:tcPr>
        <w:tcBorders>
          <w:top w:val="double" w:sz="2" w:space="0" w:color="DA5C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8CB" w:themeFill="accent2" w:themeFillTint="33"/>
      </w:tcPr>
    </w:tblStylePr>
    <w:tblStylePr w:type="band1Horz">
      <w:tblPr/>
      <w:tcPr>
        <w:shd w:val="clear" w:color="auto" w:fill="F2C8CB" w:themeFill="accent2" w:themeFillTint="33"/>
      </w:tcPr>
    </w:tblStylePr>
  </w:style>
  <w:style w:type="table" w:styleId="Tabulkasmkou4zvraznn1">
    <w:name w:val="Grid Table 4 Accent 1"/>
    <w:basedOn w:val="Normlntabulka"/>
    <w:uiPriority w:val="49"/>
    <w:rsid w:val="008020C9"/>
    <w:tblPr>
      <w:tblStyleRowBandSize w:val="1"/>
      <w:tblStyleColBandSize w:val="1"/>
      <w:tblBorders>
        <w:top w:val="single" w:sz="4" w:space="0" w:color="F4767B" w:themeColor="accent1" w:themeTint="99"/>
        <w:left w:val="single" w:sz="4" w:space="0" w:color="F4767B" w:themeColor="accent1" w:themeTint="99"/>
        <w:bottom w:val="single" w:sz="4" w:space="0" w:color="F4767B" w:themeColor="accent1" w:themeTint="99"/>
        <w:right w:val="single" w:sz="4" w:space="0" w:color="F4767B" w:themeColor="accent1" w:themeTint="99"/>
        <w:insideH w:val="single" w:sz="4" w:space="0" w:color="F4767B" w:themeColor="accent1" w:themeTint="99"/>
        <w:insideV w:val="single" w:sz="4" w:space="0" w:color="F4767B" w:themeColor="accent1" w:themeTint="99"/>
      </w:tblBorders>
    </w:tblPr>
    <w:tblStylePr w:type="firstRow">
      <w:rPr>
        <w:b/>
        <w:bCs/>
        <w:color w:val="FFFFFF" w:themeColor="background1"/>
      </w:rPr>
      <w:tblPr/>
      <w:tcPr>
        <w:tcBorders>
          <w:top w:val="single" w:sz="4" w:space="0" w:color="ED1C24" w:themeColor="accent1"/>
          <w:left w:val="single" w:sz="4" w:space="0" w:color="ED1C24" w:themeColor="accent1"/>
          <w:bottom w:val="single" w:sz="4" w:space="0" w:color="ED1C24" w:themeColor="accent1"/>
          <w:right w:val="single" w:sz="4" w:space="0" w:color="ED1C24" w:themeColor="accent1"/>
          <w:insideH w:val="nil"/>
          <w:insideV w:val="nil"/>
        </w:tcBorders>
        <w:shd w:val="clear" w:color="auto" w:fill="ED1C24" w:themeFill="accent1"/>
      </w:tcPr>
    </w:tblStylePr>
    <w:tblStylePr w:type="lastRow">
      <w:rPr>
        <w:b/>
        <w:bCs/>
      </w:rPr>
      <w:tblPr/>
      <w:tcPr>
        <w:tcBorders>
          <w:top w:val="double" w:sz="4" w:space="0" w:color="ED1C24" w:themeColor="accent1"/>
        </w:tcBorders>
      </w:tcPr>
    </w:tblStylePr>
    <w:tblStylePr w:type="firstCol">
      <w:rPr>
        <w:b/>
        <w:bCs/>
      </w:rPr>
    </w:tblStylePr>
    <w:tblStylePr w:type="lastCol">
      <w:rPr>
        <w:b/>
        <w:bCs/>
      </w:rPr>
    </w:tblStylePr>
    <w:tblStylePr w:type="band1Vert">
      <w:tblPr/>
      <w:tcPr>
        <w:shd w:val="clear" w:color="auto" w:fill="FBD1D2" w:themeFill="accent1" w:themeFillTint="33"/>
      </w:tcPr>
    </w:tblStylePr>
    <w:tblStylePr w:type="band1Horz">
      <w:tblPr/>
      <w:tcPr>
        <w:shd w:val="clear" w:color="auto" w:fill="FBD1D2" w:themeFill="accent1" w:themeFillTint="33"/>
      </w:tcPr>
    </w:tblStylePr>
  </w:style>
  <w:style w:type="table" w:styleId="Tabulkasmkou4zvraznn2">
    <w:name w:val="Grid Table 4 Accent 2"/>
    <w:basedOn w:val="Normlntabulka"/>
    <w:uiPriority w:val="49"/>
    <w:rsid w:val="008020C9"/>
    <w:tblPr>
      <w:tblStyleRowBandSize w:val="1"/>
      <w:tblStyleColBandSize w:val="1"/>
      <w:tblBorders>
        <w:top w:val="single" w:sz="4" w:space="0" w:color="DA5C66" w:themeColor="accent2" w:themeTint="99"/>
        <w:left w:val="single" w:sz="4" w:space="0" w:color="DA5C66" w:themeColor="accent2" w:themeTint="99"/>
        <w:bottom w:val="single" w:sz="4" w:space="0" w:color="DA5C66" w:themeColor="accent2" w:themeTint="99"/>
        <w:right w:val="single" w:sz="4" w:space="0" w:color="DA5C66" w:themeColor="accent2" w:themeTint="99"/>
        <w:insideH w:val="single" w:sz="4" w:space="0" w:color="DA5C66" w:themeColor="accent2" w:themeTint="99"/>
        <w:insideV w:val="single" w:sz="4" w:space="0" w:color="DA5C66" w:themeColor="accent2" w:themeTint="99"/>
      </w:tblBorders>
    </w:tblPr>
    <w:tblStylePr w:type="firstRow">
      <w:rPr>
        <w:b/>
        <w:bCs/>
        <w:color w:val="FFFFFF" w:themeColor="background1"/>
      </w:rPr>
      <w:tblPr/>
      <w:tcPr>
        <w:tcBorders>
          <w:top w:val="single" w:sz="4" w:space="0" w:color="91212A" w:themeColor="accent2"/>
          <w:left w:val="single" w:sz="4" w:space="0" w:color="91212A" w:themeColor="accent2"/>
          <w:bottom w:val="single" w:sz="4" w:space="0" w:color="91212A" w:themeColor="accent2"/>
          <w:right w:val="single" w:sz="4" w:space="0" w:color="91212A" w:themeColor="accent2"/>
          <w:insideH w:val="nil"/>
          <w:insideV w:val="nil"/>
        </w:tcBorders>
        <w:shd w:val="clear" w:color="auto" w:fill="91212A" w:themeFill="accent2"/>
      </w:tcPr>
    </w:tblStylePr>
    <w:tblStylePr w:type="lastRow">
      <w:rPr>
        <w:b/>
        <w:bCs/>
      </w:rPr>
      <w:tblPr/>
      <w:tcPr>
        <w:tcBorders>
          <w:top w:val="double" w:sz="4" w:space="0" w:color="91212A" w:themeColor="accent2"/>
        </w:tcBorders>
      </w:tcPr>
    </w:tblStylePr>
    <w:tblStylePr w:type="firstCol">
      <w:rPr>
        <w:b/>
        <w:bCs/>
      </w:rPr>
    </w:tblStylePr>
    <w:tblStylePr w:type="lastCol">
      <w:rPr>
        <w:b/>
        <w:bCs/>
      </w:rPr>
    </w:tblStylePr>
    <w:tblStylePr w:type="band1Vert">
      <w:tblPr/>
      <w:tcPr>
        <w:shd w:val="clear" w:color="auto" w:fill="F2C8CB" w:themeFill="accent2" w:themeFillTint="33"/>
      </w:tcPr>
    </w:tblStylePr>
    <w:tblStylePr w:type="band1Horz">
      <w:tblPr/>
      <w:tcPr>
        <w:shd w:val="clear" w:color="auto" w:fill="F2C8CB" w:themeFill="accent2" w:themeFillTint="33"/>
      </w:tcPr>
    </w:tblStylePr>
  </w:style>
  <w:style w:type="table" w:styleId="Tabulkasmkou4zvraznn3">
    <w:name w:val="Grid Table 4 Accent 3"/>
    <w:basedOn w:val="Normlntabulka"/>
    <w:uiPriority w:val="49"/>
    <w:rsid w:val="008020C9"/>
    <w:tblPr>
      <w:tblStyleRowBandSize w:val="1"/>
      <w:tblStyleColBandSize w:val="1"/>
      <w:tblBorders>
        <w:top w:val="single" w:sz="4" w:space="0" w:color="BEA091" w:themeColor="accent3" w:themeTint="99"/>
        <w:left w:val="single" w:sz="4" w:space="0" w:color="BEA091" w:themeColor="accent3" w:themeTint="99"/>
        <w:bottom w:val="single" w:sz="4" w:space="0" w:color="BEA091" w:themeColor="accent3" w:themeTint="99"/>
        <w:right w:val="single" w:sz="4" w:space="0" w:color="BEA091" w:themeColor="accent3" w:themeTint="99"/>
        <w:insideH w:val="single" w:sz="4" w:space="0" w:color="BEA091" w:themeColor="accent3" w:themeTint="99"/>
        <w:insideV w:val="single" w:sz="4" w:space="0" w:color="BEA091" w:themeColor="accent3" w:themeTint="99"/>
      </w:tblBorders>
    </w:tblPr>
    <w:tblStylePr w:type="firstRow">
      <w:rPr>
        <w:b/>
        <w:bCs/>
        <w:color w:val="FFFFFF" w:themeColor="background1"/>
      </w:rPr>
      <w:tblPr/>
      <w:tcPr>
        <w:tcBorders>
          <w:top w:val="single" w:sz="4" w:space="0" w:color="8A6552" w:themeColor="accent3"/>
          <w:left w:val="single" w:sz="4" w:space="0" w:color="8A6552" w:themeColor="accent3"/>
          <w:bottom w:val="single" w:sz="4" w:space="0" w:color="8A6552" w:themeColor="accent3"/>
          <w:right w:val="single" w:sz="4" w:space="0" w:color="8A6552" w:themeColor="accent3"/>
          <w:insideH w:val="nil"/>
          <w:insideV w:val="nil"/>
        </w:tcBorders>
        <w:shd w:val="clear" w:color="auto" w:fill="8A6552" w:themeFill="accent3"/>
      </w:tcPr>
    </w:tblStylePr>
    <w:tblStylePr w:type="lastRow">
      <w:rPr>
        <w:b/>
        <w:bCs/>
      </w:rPr>
      <w:tblPr/>
      <w:tcPr>
        <w:tcBorders>
          <w:top w:val="double" w:sz="4" w:space="0" w:color="8A6552" w:themeColor="accent3"/>
        </w:tcBorders>
      </w:tcPr>
    </w:tblStylePr>
    <w:tblStylePr w:type="firstCol">
      <w:rPr>
        <w:b/>
        <w:bCs/>
      </w:rPr>
    </w:tblStylePr>
    <w:tblStylePr w:type="lastCol">
      <w:rPr>
        <w:b/>
        <w:bCs/>
      </w:rPr>
    </w:tblStylePr>
    <w:tblStylePr w:type="band1Vert">
      <w:tblPr/>
      <w:tcPr>
        <w:shd w:val="clear" w:color="auto" w:fill="E9DFDA" w:themeFill="accent3" w:themeFillTint="33"/>
      </w:tcPr>
    </w:tblStylePr>
    <w:tblStylePr w:type="band1Horz">
      <w:tblPr/>
      <w:tcPr>
        <w:shd w:val="clear" w:color="auto" w:fill="E9DFDA" w:themeFill="accent3" w:themeFillTint="33"/>
      </w:tcPr>
    </w:tblStylePr>
  </w:style>
  <w:style w:type="table" w:styleId="Tabulkasmkou4">
    <w:name w:val="Grid Table 4"/>
    <w:basedOn w:val="Normlntabulka"/>
    <w:uiPriority w:val="49"/>
    <w:rsid w:val="008020C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mavtabulkasmkou5zvraznn2">
    <w:name w:val="Grid Table 5 Dark Accent 2"/>
    <w:basedOn w:val="Normlntabulka"/>
    <w:uiPriority w:val="50"/>
    <w:rsid w:val="008020C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8C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212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212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212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212A" w:themeFill="accent2"/>
      </w:tcPr>
    </w:tblStylePr>
    <w:tblStylePr w:type="band1Vert">
      <w:tblPr/>
      <w:tcPr>
        <w:shd w:val="clear" w:color="auto" w:fill="E69299" w:themeFill="accent2" w:themeFillTint="66"/>
      </w:tcPr>
    </w:tblStylePr>
    <w:tblStylePr w:type="band1Horz">
      <w:tblPr/>
      <w:tcPr>
        <w:shd w:val="clear" w:color="auto" w:fill="E69299" w:themeFill="accent2" w:themeFillTint="66"/>
      </w:tcPr>
    </w:tblStylePr>
  </w:style>
  <w:style w:type="character" w:styleId="Sledovanodkaz">
    <w:name w:val="FollowedHyperlink"/>
    <w:basedOn w:val="Standardnpsmoodstavce"/>
    <w:rsid w:val="00E17DB8"/>
    <w:rPr>
      <w:color w:val="C55A11" w:themeColor="followedHyperlink"/>
      <w:u w:val="single"/>
    </w:rPr>
  </w:style>
  <w:style w:type="paragraph" w:styleId="slovanseznam5">
    <w:name w:val="List Number 5"/>
    <w:basedOn w:val="slovanseznam"/>
    <w:uiPriority w:val="24"/>
    <w:unhideWhenUsed/>
    <w:rsid w:val="00604072"/>
    <w:pPr>
      <w:numPr>
        <w:numId w:val="0"/>
      </w:numPr>
      <w:tabs>
        <w:tab w:val="num" w:pos="4309"/>
      </w:tabs>
      <w:spacing w:before="0" w:line="298" w:lineRule="auto"/>
      <w:ind w:left="4309" w:hanging="1134"/>
      <w:contextualSpacing/>
      <w:outlineLvl w:val="9"/>
    </w:pPr>
    <w:rPr>
      <w:rFonts w:eastAsia="Arial" w:cs="Times New Roman"/>
      <w:szCs w:val="22"/>
    </w:rPr>
  </w:style>
  <w:style w:type="paragraph" w:customStyle="1" w:styleId="Odrka-ernpuntk">
    <w:name w:val="Odrážka - černý puntík"/>
    <w:basedOn w:val="Normln"/>
    <w:rsid w:val="00604072"/>
    <w:pPr>
      <w:numPr>
        <w:numId w:val="11"/>
      </w:numPr>
      <w:spacing w:before="0" w:line="320" w:lineRule="atLeast"/>
      <w:contextualSpacing/>
    </w:pPr>
    <w:rPr>
      <w:rFonts w:eastAsiaTheme="minorHAnsi" w:cs="Times New Roman"/>
      <w:color w:val="000000" w:themeColor="text1"/>
    </w:rPr>
  </w:style>
  <w:style w:type="table" w:styleId="Tabulkasmkou4zvraznn5">
    <w:name w:val="Grid Table 4 Accent 5"/>
    <w:aliases w:val="EV - základní tabulka,Tabulka s mřížkou 4 – zvýraznění 51"/>
    <w:basedOn w:val="Normlntabulka"/>
    <w:uiPriority w:val="49"/>
    <w:rsid w:val="00B16C2E"/>
    <w:rPr>
      <w:rFonts w:ascii="Arial" w:hAnsi="Arial"/>
      <w:sz w:val="18"/>
    </w:rPr>
    <w:tblPr>
      <w:tblStyleRowBandSize w:val="1"/>
      <w:tblStyleColBandSize w:val="1"/>
      <w:jc w:val="center"/>
      <w:tblBorders>
        <w:top w:val="single" w:sz="6" w:space="0" w:color="8C8C8E" w:themeColor="accent5"/>
        <w:left w:val="single" w:sz="6" w:space="0" w:color="8C8C8E" w:themeColor="accent5"/>
        <w:bottom w:val="single" w:sz="6" w:space="0" w:color="8C8C8E" w:themeColor="accent5"/>
        <w:right w:val="single" w:sz="6" w:space="0" w:color="8C8C8E" w:themeColor="accent5"/>
        <w:insideH w:val="single" w:sz="6" w:space="0" w:color="8C8C8E" w:themeColor="accent5"/>
        <w:insideV w:val="single" w:sz="6" w:space="0" w:color="8C8C8E" w:themeColor="accent5"/>
      </w:tblBorders>
    </w:tblPr>
    <w:trPr>
      <w:jc w:val="center"/>
    </w:trPr>
    <w:tcPr>
      <w:shd w:val="clear" w:color="auto" w:fill="FFFFFF" w:themeFill="background1"/>
      <w:vAlign w:val="center"/>
    </w:tcPr>
    <w:tblStylePr w:type="firstRow">
      <w:pPr>
        <w:wordWrap/>
        <w:spacing w:beforeLines="0" w:before="120" w:beforeAutospacing="0" w:afterLines="0" w:after="120" w:afterAutospacing="0"/>
        <w:contextualSpacing/>
        <w:jc w:val="left"/>
      </w:pPr>
      <w:rPr>
        <w:rFonts w:ascii="Arial" w:hAnsi="Arial"/>
        <w:b/>
        <w:bCs/>
        <w:color w:val="91212A" w:themeColor="accent2"/>
        <w:sz w:val="18"/>
      </w:rPr>
      <w:tblPr/>
      <w:tcPr>
        <w:tcBorders>
          <w:top w:val="single" w:sz="8" w:space="0" w:color="8C8C8E" w:themeColor="accent5"/>
          <w:left w:val="single" w:sz="8" w:space="0" w:color="8C8C8E" w:themeColor="accent5"/>
          <w:bottom w:val="single" w:sz="8" w:space="0" w:color="8C8C8E" w:themeColor="accent5"/>
          <w:right w:val="single" w:sz="8" w:space="0" w:color="8C8C8E" w:themeColor="accent5"/>
          <w:insideH w:val="nil"/>
          <w:insideV w:val="single" w:sz="8" w:space="0" w:color="8C8C8E" w:themeColor="accent5"/>
          <w:tl2br w:val="nil"/>
          <w:tr2bl w:val="nil"/>
        </w:tcBorders>
        <w:shd w:val="clear" w:color="auto" w:fill="D1D2D4" w:themeFill="background2"/>
      </w:tcPr>
    </w:tblStylePr>
    <w:tblStylePr w:type="lastRow">
      <w:rPr>
        <w:b/>
        <w:bCs/>
      </w:rPr>
      <w:tblPr/>
      <w:tcPr>
        <w:tcBorders>
          <w:top w:val="single" w:sz="4" w:space="0" w:color="8C8C8E" w:themeColor="accent5"/>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Tabulkaseznamu3zvraznn5">
    <w:name w:val="List Table 3 Accent 5"/>
    <w:basedOn w:val="Normlntabulka"/>
    <w:uiPriority w:val="48"/>
    <w:rsid w:val="00705070"/>
    <w:tblPr>
      <w:tblStyleRowBandSize w:val="1"/>
      <w:tblStyleColBandSize w:val="1"/>
      <w:tblBorders>
        <w:top w:val="single" w:sz="4" w:space="0" w:color="8C8C8E" w:themeColor="accent5"/>
        <w:left w:val="single" w:sz="4" w:space="0" w:color="8C8C8E" w:themeColor="accent5"/>
        <w:bottom w:val="single" w:sz="4" w:space="0" w:color="8C8C8E" w:themeColor="accent5"/>
        <w:right w:val="single" w:sz="4" w:space="0" w:color="8C8C8E" w:themeColor="accent5"/>
      </w:tblBorders>
    </w:tblPr>
    <w:tblStylePr w:type="firstRow">
      <w:rPr>
        <w:b/>
        <w:bCs/>
        <w:color w:val="FFFFFF" w:themeColor="background1"/>
      </w:rPr>
      <w:tblPr/>
      <w:tcPr>
        <w:shd w:val="clear" w:color="auto" w:fill="8C8C8E" w:themeFill="accent5"/>
      </w:tcPr>
    </w:tblStylePr>
    <w:tblStylePr w:type="lastRow">
      <w:rPr>
        <w:b/>
        <w:bCs/>
      </w:rPr>
      <w:tblPr/>
      <w:tcPr>
        <w:tcBorders>
          <w:top w:val="double" w:sz="4" w:space="0" w:color="8C8C8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C8C8E" w:themeColor="accent5"/>
          <w:right w:val="single" w:sz="4" w:space="0" w:color="8C8C8E" w:themeColor="accent5"/>
        </w:tcBorders>
      </w:tcPr>
    </w:tblStylePr>
    <w:tblStylePr w:type="band1Horz">
      <w:tblPr/>
      <w:tcPr>
        <w:tcBorders>
          <w:top w:val="single" w:sz="4" w:space="0" w:color="8C8C8E" w:themeColor="accent5"/>
          <w:bottom w:val="single" w:sz="4" w:space="0" w:color="8C8C8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C8C8E" w:themeColor="accent5"/>
          <w:left w:val="nil"/>
        </w:tcBorders>
      </w:tcPr>
    </w:tblStylePr>
    <w:tblStylePr w:type="swCell">
      <w:tblPr/>
      <w:tcPr>
        <w:tcBorders>
          <w:top w:val="double" w:sz="4" w:space="0" w:color="8C8C8E" w:themeColor="accent5"/>
          <w:right w:val="nil"/>
        </w:tcBorders>
      </w:tcPr>
    </w:tblStylePr>
  </w:style>
  <w:style w:type="table" w:styleId="Tabulkasmkou4zvraznn6">
    <w:name w:val="Grid Table 4 Accent 6"/>
    <w:basedOn w:val="Normlntabulka"/>
    <w:uiPriority w:val="49"/>
    <w:rsid w:val="00A16DBB"/>
    <w:tblPr>
      <w:tblStyleRowBandSize w:val="1"/>
      <w:tblStyleColBandSize w:val="1"/>
      <w:tblBorders>
        <w:top w:val="single" w:sz="4" w:space="0" w:color="3BF6F9" w:themeColor="accent6" w:themeTint="99"/>
        <w:left w:val="single" w:sz="4" w:space="0" w:color="3BF6F9" w:themeColor="accent6" w:themeTint="99"/>
        <w:bottom w:val="single" w:sz="4" w:space="0" w:color="3BF6F9" w:themeColor="accent6" w:themeTint="99"/>
        <w:right w:val="single" w:sz="4" w:space="0" w:color="3BF6F9" w:themeColor="accent6" w:themeTint="99"/>
        <w:insideH w:val="single" w:sz="4" w:space="0" w:color="3BF6F9" w:themeColor="accent6" w:themeTint="99"/>
        <w:insideV w:val="single" w:sz="4" w:space="0" w:color="3BF6F9" w:themeColor="accent6" w:themeTint="99"/>
      </w:tblBorders>
    </w:tblPr>
    <w:tblStylePr w:type="firstRow">
      <w:rPr>
        <w:b/>
        <w:bCs/>
        <w:color w:val="FFFFFF" w:themeColor="background1"/>
      </w:rPr>
      <w:tblPr/>
      <w:tcPr>
        <w:tcBorders>
          <w:top w:val="single" w:sz="4" w:space="0" w:color="05A8AA" w:themeColor="accent6"/>
          <w:left w:val="single" w:sz="4" w:space="0" w:color="05A8AA" w:themeColor="accent6"/>
          <w:bottom w:val="single" w:sz="4" w:space="0" w:color="05A8AA" w:themeColor="accent6"/>
          <w:right w:val="single" w:sz="4" w:space="0" w:color="05A8AA" w:themeColor="accent6"/>
          <w:insideH w:val="nil"/>
          <w:insideV w:val="nil"/>
        </w:tcBorders>
        <w:shd w:val="clear" w:color="auto" w:fill="05A8AA" w:themeFill="accent6"/>
      </w:tcPr>
    </w:tblStylePr>
    <w:tblStylePr w:type="lastRow">
      <w:rPr>
        <w:b/>
        <w:bCs/>
      </w:rPr>
      <w:tblPr/>
      <w:tcPr>
        <w:tcBorders>
          <w:top w:val="double" w:sz="4" w:space="0" w:color="05A8AA" w:themeColor="accent6"/>
        </w:tcBorders>
      </w:tcPr>
    </w:tblStylePr>
    <w:tblStylePr w:type="firstCol">
      <w:rPr>
        <w:b/>
        <w:bCs/>
      </w:rPr>
    </w:tblStylePr>
    <w:tblStylePr w:type="lastCol">
      <w:rPr>
        <w:b/>
        <w:bCs/>
      </w:rPr>
    </w:tblStylePr>
    <w:tblStylePr w:type="band1Vert">
      <w:tblPr/>
      <w:tcPr>
        <w:shd w:val="clear" w:color="auto" w:fill="BDFCFD" w:themeFill="accent6" w:themeFillTint="33"/>
      </w:tcPr>
    </w:tblStylePr>
    <w:tblStylePr w:type="band1Horz">
      <w:tblPr/>
      <w:tcPr>
        <w:shd w:val="clear" w:color="auto" w:fill="BDFCFD" w:themeFill="accent6" w:themeFillTint="33"/>
      </w:tcPr>
    </w:tblStylePr>
  </w:style>
  <w:style w:type="table" w:styleId="Tmavtabulkasmkou5">
    <w:name w:val="Grid Table 5 Dark"/>
    <w:basedOn w:val="Normlntabulka"/>
    <w:uiPriority w:val="50"/>
    <w:rsid w:val="00A16DB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A16DB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D1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1C2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1C2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1C2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1C24" w:themeFill="accent1"/>
      </w:tcPr>
    </w:tblStylePr>
    <w:tblStylePr w:type="band1Vert">
      <w:tblPr/>
      <w:tcPr>
        <w:shd w:val="clear" w:color="auto" w:fill="F7A4A7" w:themeFill="accent1" w:themeFillTint="66"/>
      </w:tcPr>
    </w:tblStylePr>
    <w:tblStylePr w:type="band1Horz">
      <w:tblPr/>
      <w:tcPr>
        <w:shd w:val="clear" w:color="auto" w:fill="F7A4A7" w:themeFill="accent1" w:themeFillTint="66"/>
      </w:tcPr>
    </w:tblStylePr>
  </w:style>
  <w:style w:type="table" w:styleId="Tmavtabulkasmkou5zvraznn3">
    <w:name w:val="Grid Table 5 Dark Accent 3"/>
    <w:basedOn w:val="Normlntabulka"/>
    <w:uiPriority w:val="50"/>
    <w:rsid w:val="00A16DB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DFD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6552"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6552"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6552"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6552" w:themeFill="accent3"/>
      </w:tcPr>
    </w:tblStylePr>
    <w:tblStylePr w:type="band1Vert">
      <w:tblPr/>
      <w:tcPr>
        <w:shd w:val="clear" w:color="auto" w:fill="D3C0B6" w:themeFill="accent3" w:themeFillTint="66"/>
      </w:tcPr>
    </w:tblStylePr>
    <w:tblStylePr w:type="band1Horz">
      <w:tblPr/>
      <w:tcPr>
        <w:shd w:val="clear" w:color="auto" w:fill="D3C0B6" w:themeFill="accent3" w:themeFillTint="66"/>
      </w:tcPr>
    </w:tblStylePr>
  </w:style>
  <w:style w:type="table" w:styleId="Tmavtabulkasmkou5zvraznn4">
    <w:name w:val="Grid Table 5 Dark Accent 4"/>
    <w:basedOn w:val="Normlntabulka"/>
    <w:uiPriority w:val="50"/>
    <w:rsid w:val="00A16DB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accent4"/>
      </w:tcPr>
    </w:tblStylePr>
    <w:tblStylePr w:type="band1Vert">
      <w:tblPr/>
      <w:tcPr>
        <w:shd w:val="clear" w:color="auto" w:fill="999999" w:themeFill="accent4" w:themeFillTint="66"/>
      </w:tcPr>
    </w:tblStylePr>
    <w:tblStylePr w:type="band1Horz">
      <w:tblPr/>
      <w:tcPr>
        <w:shd w:val="clear" w:color="auto" w:fill="999999" w:themeFill="accent4" w:themeFillTint="66"/>
      </w:tcPr>
    </w:tblStylePr>
  </w:style>
  <w:style w:type="table" w:styleId="Tmavtabulkasmkou5zvraznn5">
    <w:name w:val="Grid Table 5 Dark Accent 5"/>
    <w:basedOn w:val="Normlntabulka"/>
    <w:uiPriority w:val="50"/>
    <w:rsid w:val="00B62A9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E7E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C8C8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C8C8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C8C8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C8C8E" w:themeFill="accent5"/>
      </w:tcPr>
    </w:tblStylePr>
    <w:tblStylePr w:type="band1Vert">
      <w:tblPr/>
      <w:tcPr>
        <w:shd w:val="clear" w:color="auto" w:fill="D0D0D1" w:themeFill="accent5" w:themeFillTint="66"/>
      </w:tcPr>
    </w:tblStylePr>
    <w:tblStylePr w:type="band1Horz">
      <w:tblPr/>
      <w:tcPr>
        <w:shd w:val="clear" w:color="auto" w:fill="D0D0D1" w:themeFill="accent5" w:themeFillTint="66"/>
      </w:tcPr>
    </w:tblStylePr>
  </w:style>
  <w:style w:type="numbering" w:customStyle="1" w:styleId="slovanseznamEVvcerovov">
    <w:name w:val="Číslovaný seznam EV víceúrovňový"/>
    <w:uiPriority w:val="99"/>
    <w:rsid w:val="00ED6DE2"/>
    <w:pPr>
      <w:numPr>
        <w:numId w:val="25"/>
      </w:numPr>
    </w:pPr>
  </w:style>
  <w:style w:type="paragraph" w:styleId="Vrazncitt">
    <w:name w:val="Intense Quote"/>
    <w:aliases w:val="Výrazný citát EV"/>
    <w:basedOn w:val="Normln"/>
    <w:next w:val="Normln"/>
    <w:link w:val="VrazncittChar"/>
    <w:uiPriority w:val="30"/>
    <w:qFormat/>
    <w:rsid w:val="00205268"/>
    <w:pPr>
      <w:pBdr>
        <w:top w:val="single" w:sz="8" w:space="10" w:color="8C8C8E" w:themeColor="accent5"/>
        <w:bottom w:val="single" w:sz="8" w:space="10" w:color="8C8C8E" w:themeColor="accent5"/>
      </w:pBdr>
      <w:spacing w:before="360" w:after="360"/>
      <w:ind w:left="864" w:right="864"/>
      <w:jc w:val="center"/>
    </w:pPr>
    <w:rPr>
      <w:i/>
      <w:iCs/>
      <w:color w:val="ED1C24" w:themeColor="accent1"/>
      <w:sz w:val="22"/>
    </w:rPr>
  </w:style>
  <w:style w:type="character" w:customStyle="1" w:styleId="VrazncittChar">
    <w:name w:val="Výrazný citát Char"/>
    <w:aliases w:val="Výrazný citát EV Char"/>
    <w:basedOn w:val="Standardnpsmoodstavce"/>
    <w:link w:val="Vrazncitt"/>
    <w:uiPriority w:val="30"/>
    <w:rsid w:val="00205268"/>
    <w:rPr>
      <w:rFonts w:ascii="Arial" w:hAnsi="Arial" w:cs="Arial"/>
      <w:i/>
      <w:iCs/>
      <w:color w:val="ED1C24" w:themeColor="accent1"/>
      <w:sz w:val="22"/>
      <w:lang w:eastAsia="en-US"/>
    </w:rPr>
  </w:style>
  <w:style w:type="paragraph" w:styleId="Textbubliny">
    <w:name w:val="Balloon Text"/>
    <w:basedOn w:val="Normln"/>
    <w:link w:val="TextbublinyChar"/>
    <w:semiHidden/>
    <w:unhideWhenUsed/>
    <w:rsid w:val="008A0887"/>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8A0887"/>
    <w:rPr>
      <w:rFonts w:ascii="Segoe UI" w:hAnsi="Segoe UI" w:cs="Segoe UI"/>
      <w:sz w:val="18"/>
      <w:szCs w:val="18"/>
      <w:lang w:eastAsia="en-US"/>
    </w:rPr>
  </w:style>
  <w:style w:type="table" w:styleId="Tabulkasmkou3zvraznn6">
    <w:name w:val="Grid Table 3 Accent 6"/>
    <w:basedOn w:val="Normlntabulka"/>
    <w:uiPriority w:val="48"/>
    <w:rsid w:val="00DD4AF7"/>
    <w:tblPr>
      <w:tblStyleRowBandSize w:val="1"/>
      <w:tblStyleColBandSize w:val="1"/>
      <w:tblBorders>
        <w:top w:val="single" w:sz="4" w:space="0" w:color="3BF6F9" w:themeColor="accent6" w:themeTint="99"/>
        <w:left w:val="single" w:sz="4" w:space="0" w:color="3BF6F9" w:themeColor="accent6" w:themeTint="99"/>
        <w:bottom w:val="single" w:sz="4" w:space="0" w:color="3BF6F9" w:themeColor="accent6" w:themeTint="99"/>
        <w:right w:val="single" w:sz="4" w:space="0" w:color="3BF6F9" w:themeColor="accent6" w:themeTint="99"/>
        <w:insideH w:val="single" w:sz="4" w:space="0" w:color="3BF6F9" w:themeColor="accent6" w:themeTint="99"/>
        <w:insideV w:val="single" w:sz="4" w:space="0" w:color="3BF6F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CFD" w:themeFill="accent6" w:themeFillTint="33"/>
      </w:tcPr>
    </w:tblStylePr>
    <w:tblStylePr w:type="band1Horz">
      <w:tblPr/>
      <w:tcPr>
        <w:shd w:val="clear" w:color="auto" w:fill="BDFCFD" w:themeFill="accent6" w:themeFillTint="33"/>
      </w:tcPr>
    </w:tblStylePr>
    <w:tblStylePr w:type="neCell">
      <w:tblPr/>
      <w:tcPr>
        <w:tcBorders>
          <w:bottom w:val="single" w:sz="4" w:space="0" w:color="3BF6F9" w:themeColor="accent6" w:themeTint="99"/>
        </w:tcBorders>
      </w:tcPr>
    </w:tblStylePr>
    <w:tblStylePr w:type="nwCell">
      <w:tblPr/>
      <w:tcPr>
        <w:tcBorders>
          <w:bottom w:val="single" w:sz="4" w:space="0" w:color="3BF6F9" w:themeColor="accent6" w:themeTint="99"/>
        </w:tcBorders>
      </w:tcPr>
    </w:tblStylePr>
    <w:tblStylePr w:type="seCell">
      <w:tblPr/>
      <w:tcPr>
        <w:tcBorders>
          <w:top w:val="single" w:sz="4" w:space="0" w:color="3BF6F9" w:themeColor="accent6" w:themeTint="99"/>
        </w:tcBorders>
      </w:tcPr>
    </w:tblStylePr>
    <w:tblStylePr w:type="swCell">
      <w:tblPr/>
      <w:tcPr>
        <w:tcBorders>
          <w:top w:val="single" w:sz="4" w:space="0" w:color="3BF6F9" w:themeColor="accent6" w:themeTint="99"/>
        </w:tcBorders>
      </w:tcPr>
    </w:tblStylePr>
  </w:style>
  <w:style w:type="table" w:styleId="Prosttabulka1">
    <w:name w:val="Plain Table 1"/>
    <w:basedOn w:val="Normlntabulka"/>
    <w:uiPriority w:val="41"/>
    <w:rsid w:val="0020526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tabulkasmkou1zvraznn1">
    <w:name w:val="Grid Table 1 Light Accent 1"/>
    <w:basedOn w:val="Normlntabulka"/>
    <w:uiPriority w:val="46"/>
    <w:rsid w:val="00205268"/>
    <w:tblPr>
      <w:tblStyleRowBandSize w:val="1"/>
      <w:tblStyleColBandSize w:val="1"/>
      <w:tblBorders>
        <w:top w:val="single" w:sz="4" w:space="0" w:color="F7A4A7" w:themeColor="accent1" w:themeTint="66"/>
        <w:left w:val="single" w:sz="4" w:space="0" w:color="F7A4A7" w:themeColor="accent1" w:themeTint="66"/>
        <w:bottom w:val="single" w:sz="4" w:space="0" w:color="F7A4A7" w:themeColor="accent1" w:themeTint="66"/>
        <w:right w:val="single" w:sz="4" w:space="0" w:color="F7A4A7" w:themeColor="accent1" w:themeTint="66"/>
        <w:insideH w:val="single" w:sz="4" w:space="0" w:color="F7A4A7" w:themeColor="accent1" w:themeTint="66"/>
        <w:insideV w:val="single" w:sz="4" w:space="0" w:color="F7A4A7" w:themeColor="accent1" w:themeTint="66"/>
      </w:tblBorders>
    </w:tblPr>
    <w:tblStylePr w:type="firstRow">
      <w:rPr>
        <w:b/>
        <w:bCs/>
      </w:rPr>
      <w:tblPr/>
      <w:tcPr>
        <w:tcBorders>
          <w:bottom w:val="single" w:sz="12" w:space="0" w:color="F4767B" w:themeColor="accent1" w:themeTint="99"/>
        </w:tcBorders>
      </w:tcPr>
    </w:tblStylePr>
    <w:tblStylePr w:type="lastRow">
      <w:rPr>
        <w:b/>
        <w:bCs/>
      </w:rPr>
      <w:tblPr/>
      <w:tcPr>
        <w:tcBorders>
          <w:top w:val="double" w:sz="2" w:space="0" w:color="F4767B" w:themeColor="accent1" w:themeTint="99"/>
        </w:tcBorders>
      </w:tcPr>
    </w:tblStylePr>
    <w:tblStylePr w:type="firstCol">
      <w:rPr>
        <w:b/>
        <w:bCs/>
      </w:rPr>
    </w:tblStylePr>
    <w:tblStylePr w:type="lastCol">
      <w:rPr>
        <w:b/>
        <w:bCs/>
      </w:rPr>
    </w:tblStylePr>
  </w:style>
  <w:style w:type="paragraph" w:customStyle="1" w:styleId="ZvraznnEV">
    <w:name w:val="Zvýrazněný EV"/>
    <w:basedOn w:val="Normln"/>
    <w:link w:val="ZvraznnEVChar"/>
    <w:qFormat/>
    <w:rsid w:val="00A74518"/>
    <w:rPr>
      <w:i/>
      <w:color w:val="ED1C24"/>
    </w:rPr>
  </w:style>
  <w:style w:type="character" w:customStyle="1" w:styleId="ZvraznnEVChar">
    <w:name w:val="Zvýrazněný EV Char"/>
    <w:basedOn w:val="Standardnpsmoodstavce"/>
    <w:link w:val="ZvraznnEV"/>
    <w:rsid w:val="00A74518"/>
    <w:rPr>
      <w:rFonts w:ascii="Arial" w:hAnsi="Arial" w:cs="Arial"/>
      <w:i/>
      <w:color w:val="ED1C24"/>
      <w:lang w:eastAsia="en-US"/>
    </w:rPr>
  </w:style>
  <w:style w:type="character" w:styleId="Nevyeenzmnka">
    <w:name w:val="Unresolved Mention"/>
    <w:basedOn w:val="Standardnpsmoodstavce"/>
    <w:uiPriority w:val="99"/>
    <w:semiHidden/>
    <w:unhideWhenUsed/>
    <w:rsid w:val="00A3667D"/>
    <w:rPr>
      <w:color w:val="808080"/>
      <w:shd w:val="clear" w:color="auto" w:fill="E6E6E6"/>
    </w:rPr>
  </w:style>
  <w:style w:type="character" w:customStyle="1" w:styleId="OdstavecseseznamemChar">
    <w:name w:val="Odstavec se seznamem Char"/>
    <w:aliases w:val="Nad Char,Odstavec_muj Char,Odstavec cíl se seznamem Char,Odstavec se seznamem5 Char,Odrážky Char"/>
    <w:basedOn w:val="Standardnpsmoodstavce"/>
    <w:link w:val="Odstavecseseznamem"/>
    <w:uiPriority w:val="34"/>
    <w:locked/>
    <w:rsid w:val="006241F6"/>
    <w:rPr>
      <w:sz w:val="24"/>
      <w:szCs w:val="24"/>
    </w:rPr>
  </w:style>
  <w:style w:type="character" w:customStyle="1" w:styleId="TextpoznpodarouChar">
    <w:name w:val="Text pozn. pod čarou Char"/>
    <w:link w:val="Textpoznpodarou"/>
    <w:uiPriority w:val="99"/>
    <w:semiHidden/>
    <w:locked/>
    <w:rsid w:val="006241F6"/>
    <w:rPr>
      <w:rFonts w:ascii="Arial" w:hAnsi="Arial" w:cs="Arial"/>
      <w:sz w:val="18"/>
      <w:lang w:eastAsia="en-US"/>
    </w:rPr>
  </w:style>
  <w:style w:type="paragraph" w:styleId="Revize">
    <w:name w:val="Revision"/>
    <w:hidden/>
    <w:uiPriority w:val="99"/>
    <w:semiHidden/>
    <w:rsid w:val="00293A1A"/>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63913">
      <w:bodyDiv w:val="1"/>
      <w:marLeft w:val="0"/>
      <w:marRight w:val="0"/>
      <w:marTop w:val="0"/>
      <w:marBottom w:val="0"/>
      <w:divBdr>
        <w:top w:val="none" w:sz="0" w:space="0" w:color="auto"/>
        <w:left w:val="none" w:sz="0" w:space="0" w:color="auto"/>
        <w:bottom w:val="none" w:sz="0" w:space="0" w:color="auto"/>
        <w:right w:val="none" w:sz="0" w:space="0" w:color="auto"/>
      </w:divBdr>
    </w:div>
    <w:div w:id="104083721">
      <w:bodyDiv w:val="1"/>
      <w:marLeft w:val="0"/>
      <w:marRight w:val="0"/>
      <w:marTop w:val="0"/>
      <w:marBottom w:val="0"/>
      <w:divBdr>
        <w:top w:val="none" w:sz="0" w:space="0" w:color="auto"/>
        <w:left w:val="none" w:sz="0" w:space="0" w:color="auto"/>
        <w:bottom w:val="none" w:sz="0" w:space="0" w:color="auto"/>
        <w:right w:val="none" w:sz="0" w:space="0" w:color="auto"/>
      </w:divBdr>
    </w:div>
    <w:div w:id="122626966">
      <w:bodyDiv w:val="1"/>
      <w:marLeft w:val="0"/>
      <w:marRight w:val="0"/>
      <w:marTop w:val="0"/>
      <w:marBottom w:val="0"/>
      <w:divBdr>
        <w:top w:val="none" w:sz="0" w:space="0" w:color="auto"/>
        <w:left w:val="none" w:sz="0" w:space="0" w:color="auto"/>
        <w:bottom w:val="none" w:sz="0" w:space="0" w:color="auto"/>
        <w:right w:val="none" w:sz="0" w:space="0" w:color="auto"/>
      </w:divBdr>
    </w:div>
    <w:div w:id="304434825">
      <w:bodyDiv w:val="1"/>
      <w:marLeft w:val="0"/>
      <w:marRight w:val="0"/>
      <w:marTop w:val="0"/>
      <w:marBottom w:val="0"/>
      <w:divBdr>
        <w:top w:val="none" w:sz="0" w:space="0" w:color="auto"/>
        <w:left w:val="none" w:sz="0" w:space="0" w:color="auto"/>
        <w:bottom w:val="none" w:sz="0" w:space="0" w:color="auto"/>
        <w:right w:val="none" w:sz="0" w:space="0" w:color="auto"/>
      </w:divBdr>
    </w:div>
    <w:div w:id="552890502">
      <w:bodyDiv w:val="1"/>
      <w:marLeft w:val="0"/>
      <w:marRight w:val="0"/>
      <w:marTop w:val="0"/>
      <w:marBottom w:val="0"/>
      <w:divBdr>
        <w:top w:val="none" w:sz="0" w:space="0" w:color="auto"/>
        <w:left w:val="none" w:sz="0" w:space="0" w:color="auto"/>
        <w:bottom w:val="none" w:sz="0" w:space="0" w:color="auto"/>
        <w:right w:val="none" w:sz="0" w:space="0" w:color="auto"/>
      </w:divBdr>
    </w:div>
    <w:div w:id="788205242">
      <w:bodyDiv w:val="1"/>
      <w:marLeft w:val="0"/>
      <w:marRight w:val="0"/>
      <w:marTop w:val="0"/>
      <w:marBottom w:val="0"/>
      <w:divBdr>
        <w:top w:val="none" w:sz="0" w:space="0" w:color="auto"/>
        <w:left w:val="none" w:sz="0" w:space="0" w:color="auto"/>
        <w:bottom w:val="none" w:sz="0" w:space="0" w:color="auto"/>
        <w:right w:val="none" w:sz="0" w:space="0" w:color="auto"/>
      </w:divBdr>
    </w:div>
    <w:div w:id="836572949">
      <w:bodyDiv w:val="1"/>
      <w:marLeft w:val="0"/>
      <w:marRight w:val="0"/>
      <w:marTop w:val="0"/>
      <w:marBottom w:val="0"/>
      <w:divBdr>
        <w:top w:val="none" w:sz="0" w:space="0" w:color="auto"/>
        <w:left w:val="none" w:sz="0" w:space="0" w:color="auto"/>
        <w:bottom w:val="none" w:sz="0" w:space="0" w:color="auto"/>
        <w:right w:val="none" w:sz="0" w:space="0" w:color="auto"/>
      </w:divBdr>
    </w:div>
    <w:div w:id="1748915115">
      <w:bodyDiv w:val="1"/>
      <w:marLeft w:val="0"/>
      <w:marRight w:val="0"/>
      <w:marTop w:val="0"/>
      <w:marBottom w:val="0"/>
      <w:divBdr>
        <w:top w:val="none" w:sz="0" w:space="0" w:color="auto"/>
        <w:left w:val="none" w:sz="0" w:space="0" w:color="auto"/>
        <w:bottom w:val="none" w:sz="0" w:space="0" w:color="auto"/>
        <w:right w:val="none" w:sz="0" w:space="0" w:color="auto"/>
      </w:divBdr>
    </w:div>
    <w:div w:id="1799372204">
      <w:bodyDiv w:val="1"/>
      <w:marLeft w:val="0"/>
      <w:marRight w:val="0"/>
      <w:marTop w:val="0"/>
      <w:marBottom w:val="0"/>
      <w:divBdr>
        <w:top w:val="none" w:sz="0" w:space="0" w:color="auto"/>
        <w:left w:val="none" w:sz="0" w:space="0" w:color="auto"/>
        <w:bottom w:val="none" w:sz="0" w:space="0" w:color="auto"/>
        <w:right w:val="none" w:sz="0" w:space="0" w:color="auto"/>
      </w:divBdr>
    </w:div>
    <w:div w:id="1828594149">
      <w:bodyDiv w:val="1"/>
      <w:marLeft w:val="0"/>
      <w:marRight w:val="0"/>
      <w:marTop w:val="0"/>
      <w:marBottom w:val="0"/>
      <w:divBdr>
        <w:top w:val="none" w:sz="0" w:space="0" w:color="auto"/>
        <w:left w:val="none" w:sz="0" w:space="0" w:color="auto"/>
        <w:bottom w:val="none" w:sz="0" w:space="0" w:color="auto"/>
        <w:right w:val="none" w:sz="0" w:space="0" w:color="auto"/>
      </w:divBdr>
    </w:div>
    <w:div w:id="1904020169">
      <w:bodyDiv w:val="1"/>
      <w:marLeft w:val="0"/>
      <w:marRight w:val="0"/>
      <w:marTop w:val="0"/>
      <w:marBottom w:val="0"/>
      <w:divBdr>
        <w:top w:val="none" w:sz="0" w:space="0" w:color="auto"/>
        <w:left w:val="none" w:sz="0" w:space="0" w:color="auto"/>
        <w:bottom w:val="none" w:sz="0" w:space="0" w:color="auto"/>
        <w:right w:val="none" w:sz="0" w:space="0" w:color="auto"/>
      </w:divBdr>
    </w:div>
    <w:div w:id="195802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Desktop\zak&#225;zky%20&#353;ablony\2020-EV-&#352;ablona%20dokumentu%20EV.dotx" TargetMode="External"/></Relationships>
</file>

<file path=word/theme/theme1.xml><?xml version="1.0" encoding="utf-8"?>
<a:theme xmlns:a="http://schemas.openxmlformats.org/drawingml/2006/main" name="Office Theme">
  <a:themeElements>
    <a:clrScheme name="0">
      <a:dk1>
        <a:sysClr val="windowText" lastClr="000000"/>
      </a:dk1>
      <a:lt1>
        <a:sysClr val="window" lastClr="FFFFFF"/>
      </a:lt1>
      <a:dk2>
        <a:srgbClr val="A30A0D"/>
      </a:dk2>
      <a:lt2>
        <a:srgbClr val="D1D2D4"/>
      </a:lt2>
      <a:accent1>
        <a:srgbClr val="ED1C24"/>
      </a:accent1>
      <a:accent2>
        <a:srgbClr val="91212A"/>
      </a:accent2>
      <a:accent3>
        <a:srgbClr val="8A6552"/>
      </a:accent3>
      <a:accent4>
        <a:srgbClr val="000000"/>
      </a:accent4>
      <a:accent5>
        <a:srgbClr val="8C8C8E"/>
      </a:accent5>
      <a:accent6>
        <a:srgbClr val="05A8AA"/>
      </a:accent6>
      <a:hlink>
        <a:srgbClr val="0563C1"/>
      </a:hlink>
      <a:folHlink>
        <a:srgbClr val="C55A1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1151DE2A36A904AA2483ABA4F31EC3C" ma:contentTypeVersion="15" ma:contentTypeDescription="Vytvoří nový dokument" ma:contentTypeScope="" ma:versionID="516fa46599b31549f9fc9355a3e07a05">
  <xsd:schema xmlns:xsd="http://www.w3.org/2001/XMLSchema" xmlns:xs="http://www.w3.org/2001/XMLSchema" xmlns:p="http://schemas.microsoft.com/office/2006/metadata/properties" xmlns:ns2="f90d4d99-5d45-45b5-9cd3-f73848d90e99" xmlns:ns3="ef3c7a92-6d97-492b-b1f8-b6f60290b8d9" targetNamespace="http://schemas.microsoft.com/office/2006/metadata/properties" ma:root="true" ma:fieldsID="c9dcc73d10d101c8e03f754a107a1c66" ns2:_="" ns3:_="">
    <xsd:import namespace="f90d4d99-5d45-45b5-9cd3-f73848d90e99"/>
    <xsd:import namespace="ef3c7a92-6d97-492b-b1f8-b6f60290b8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d4d99-5d45-45b5-9cd3-f73848d90e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05e247bd-20c0-44ef-8b5f-61f4b9bf019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3c7a92-6d97-492b-b1f8-b6f60290b8d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8b1091e-eed0-465b-a5cd-c206480be7be}" ma:internalName="TaxCatchAll" ma:showField="CatchAllData" ma:web="ef3c7a92-6d97-492b-b1f8-b6f60290b8d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f3c7a92-6d97-492b-b1f8-b6f60290b8d9" xsi:nil="true"/>
    <lcf76f155ced4ddcb4097134ff3c332f xmlns="f90d4d99-5d45-45b5-9cd3-f73848d90e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788DE-13A8-49D0-BEA6-34F1021344B4}">
  <ds:schemaRefs>
    <ds:schemaRef ds:uri="http://schemas.microsoft.com/sharepoint/v3/contenttype/forms"/>
  </ds:schemaRefs>
</ds:datastoreItem>
</file>

<file path=customXml/itemProps2.xml><?xml version="1.0" encoding="utf-8"?>
<ds:datastoreItem xmlns:ds="http://schemas.openxmlformats.org/officeDocument/2006/customXml" ds:itemID="{711EF70A-502A-4D3F-9530-2A6E4081B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d4d99-5d45-45b5-9cd3-f73848d90e99"/>
    <ds:schemaRef ds:uri="ef3c7a92-6d97-492b-b1f8-b6f60290b8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46D63E-D63F-4375-88E0-CB386C907D36}">
  <ds:schemaRefs>
    <ds:schemaRef ds:uri="http://schemas.microsoft.com/office/2006/metadata/properties"/>
    <ds:schemaRef ds:uri="http://schemas.microsoft.com/office/infopath/2007/PartnerControls"/>
    <ds:schemaRef ds:uri="ef3c7a92-6d97-492b-b1f8-b6f60290b8d9"/>
    <ds:schemaRef ds:uri="f90d4d99-5d45-45b5-9cd3-f73848d90e99"/>
  </ds:schemaRefs>
</ds:datastoreItem>
</file>

<file path=customXml/itemProps4.xml><?xml version="1.0" encoding="utf-8"?>
<ds:datastoreItem xmlns:ds="http://schemas.openxmlformats.org/officeDocument/2006/customXml" ds:itemID="{342A19A1-1C7C-4C59-AD18-23B20A550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2020-EV-Šablona dokumentu EV</Template>
  <TotalTime>0</TotalTime>
  <Pages>11</Pages>
  <Words>4320</Words>
  <Characters>26467</Characters>
  <Application>Microsoft Office Word</Application>
  <DocSecurity>0</DocSecurity>
  <Lines>220</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2022-08-17T13:52:00Z</dcterms:created>
  <dcterms:modified xsi:type="dcterms:W3CDTF">2022-08-29T09:50:00Z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0x01010051151DE2A36A904AA2483ABA4F31EC3C</vt:lpwstr>
  </property>
  <property fmtid="{D5CDD505-2E9C-101B-9397-08002B2CF9AE}" pid="3" name="ComplianceAssetId">
    <vt:lpwstr/>
  </property>
  <property fmtid="{D5CDD505-2E9C-101B-9397-08002B2CF9AE}" pid="4" name="Order">
    <vt:r8>21100</vt:r8>
  </property>
</Properties>
</file>